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D4FF" w14:textId="147F03F0" w:rsidR="00837C76" w:rsidRPr="0025092B" w:rsidRDefault="00837C76" w:rsidP="00837C76">
      <w:pPr>
        <w:pStyle w:val="Heading4"/>
        <w:rPr>
          <w:i w:val="0"/>
          <w:iCs w:val="0"/>
          <w:sz w:val="36"/>
          <w:szCs w:val="28"/>
        </w:rPr>
      </w:pPr>
      <w:r>
        <w:rPr>
          <w:i w:val="0"/>
          <w:iCs w:val="0"/>
          <w:sz w:val="36"/>
          <w:szCs w:val="28"/>
        </w:rPr>
        <w:t>Strømforsyning</w:t>
      </w:r>
    </w:p>
    <w:p w14:paraId="472EFFA5" w14:textId="77777777" w:rsidR="00837C76" w:rsidRDefault="00837C76" w:rsidP="00837C76">
      <w:pPr>
        <w:suppressAutoHyphens w:val="0"/>
        <w:autoSpaceDE w:val="0"/>
        <w:adjustRightInd w:val="0"/>
        <w:textAlignment w:val="auto"/>
      </w:pPr>
    </w:p>
    <w:p w14:paraId="711241F1" w14:textId="77777777" w:rsidR="00837C76" w:rsidRDefault="00837C76" w:rsidP="00837C76">
      <w:r w:rsidRPr="00754625">
        <w:fldChar w:fldCharType="begin"/>
      </w:r>
      <w:r w:rsidRPr="00754625">
        <w:instrText xml:space="preserve"> REF _Ref289101147 \h </w:instrText>
      </w:r>
      <w:r w:rsidRPr="00754625">
        <w:fldChar w:fldCharType="separate"/>
      </w:r>
      <w:r w:rsidRPr="00754625">
        <w:t xml:space="preserve">Figur </w:t>
      </w:r>
      <w:r>
        <w:rPr>
          <w:noProof/>
        </w:rPr>
        <w:t>1</w:t>
      </w:r>
      <w:r w:rsidRPr="00754625">
        <w:fldChar w:fldCharType="end"/>
      </w:r>
      <w:r w:rsidRPr="00754625">
        <w:t xml:space="preserve"> viser en forenklet skisse av </w:t>
      </w:r>
      <w:r>
        <w:t>strømforsyningen på en oljeplattform</w:t>
      </w:r>
      <w:r w:rsidRPr="00754625">
        <w:t xml:space="preserve">. </w:t>
      </w:r>
      <w:r>
        <w:t xml:space="preserve">Normalt produseres strøm ved at gass ledes inn i en gassturbin. Gassturbinen </w:t>
      </w:r>
      <w:proofErr w:type="gramStart"/>
      <w:r>
        <w:t>genererer</w:t>
      </w:r>
      <w:proofErr w:type="gramEnd"/>
      <w:r>
        <w:t xml:space="preserve"> et mekanisk moment som igjen driver en elektrisk generator (Generator 1) for strømproduksjon. Dersom dette systemet svikter, kan også strøm produseres ved at en dieselmotor startes. Denne dieselmotoren </w:t>
      </w:r>
      <w:proofErr w:type="gramStart"/>
      <w:r>
        <w:t>genererer</w:t>
      </w:r>
      <w:proofErr w:type="gramEnd"/>
      <w:r>
        <w:t xml:space="preserve"> også et moment som driver en elektrisk generator (Generator 2). I normalsituasjonen er reservesystemet (Dieselmotor og Generator 2) ikke i drift. Reservesystemet </w:t>
      </w:r>
      <w:proofErr w:type="spellStart"/>
      <w:r>
        <w:t>funksjonstestes</w:t>
      </w:r>
      <w:proofErr w:type="spellEnd"/>
      <w:r>
        <w:t xml:space="preserve"> tre ganger i året. Dersom det er behov for å starte reservesystemet, antar vi i oppgave 1, 2 og 3 at sannsynligheten for svikt i dette systemet under den korte driftsperioden er så lav at vi kan se bort fra en slik svikt under drift.</w:t>
      </w:r>
    </w:p>
    <w:p w14:paraId="6478B50F" w14:textId="77777777" w:rsidR="00837C76" w:rsidRPr="00754625" w:rsidRDefault="00837C76" w:rsidP="00837C76"/>
    <w:p w14:paraId="05C6D9B1" w14:textId="77777777" w:rsidR="00837C76" w:rsidRDefault="00837C76" w:rsidP="00837C76">
      <w:r w:rsidRPr="00754625">
        <w:t xml:space="preserve">Pålitelighetsdata for komponentene </w:t>
      </w:r>
      <w:r>
        <w:t xml:space="preserve">som skal brukes i første del av analysen </w:t>
      </w:r>
      <w:r w:rsidRPr="00754625">
        <w:t xml:space="preserve">er </w:t>
      </w:r>
      <w:r>
        <w:t xml:space="preserve">gitt i </w:t>
      </w:r>
      <w:r>
        <w:fldChar w:fldCharType="begin"/>
      </w:r>
      <w:r>
        <w:instrText xml:space="preserve"> REF _Ref131841471 \h </w:instrText>
      </w:r>
      <w:r>
        <w:fldChar w:fldCharType="separate"/>
      </w:r>
      <w:r>
        <w:t xml:space="preserve">Tabell </w:t>
      </w:r>
      <w:r>
        <w:rPr>
          <w:noProof/>
        </w:rPr>
        <w:t>1</w:t>
      </w:r>
      <w:r>
        <w:fldChar w:fldCharType="end"/>
      </w:r>
      <w:r w:rsidRPr="00754625">
        <w:t xml:space="preserve">. </w:t>
      </w:r>
    </w:p>
    <w:p w14:paraId="389A1B97" w14:textId="77777777" w:rsidR="00837C76" w:rsidRDefault="00837C76" w:rsidP="00837C76"/>
    <w:p w14:paraId="0B2143DB" w14:textId="77777777" w:rsidR="00837C76" w:rsidRPr="00754625" w:rsidRDefault="00837C76" w:rsidP="00837C76">
      <w:pPr>
        <w:pStyle w:val="Caption"/>
      </w:pPr>
      <w:bookmarkStart w:id="0" w:name="_Ref131841471"/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Pålitelighetsdata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78"/>
        <w:gridCol w:w="2231"/>
        <w:gridCol w:w="1873"/>
        <w:gridCol w:w="1834"/>
      </w:tblGrid>
      <w:tr w:rsidR="00837C76" w:rsidRPr="00754625" w14:paraId="571F9B18" w14:textId="77777777" w:rsidTr="0087154C">
        <w:tc>
          <w:tcPr>
            <w:tcW w:w="3078" w:type="dxa"/>
          </w:tcPr>
          <w:p w14:paraId="1634CD6D" w14:textId="77777777" w:rsidR="00837C76" w:rsidRPr="00754625" w:rsidRDefault="00837C76" w:rsidP="0087154C">
            <w:r w:rsidRPr="00754625">
              <w:t>Enhet</w:t>
            </w:r>
          </w:p>
        </w:tc>
        <w:tc>
          <w:tcPr>
            <w:tcW w:w="2231" w:type="dxa"/>
          </w:tcPr>
          <w:p w14:paraId="02B9902A" w14:textId="77777777" w:rsidR="00837C76" w:rsidRPr="00754625" w:rsidRDefault="00837C76" w:rsidP="0087154C">
            <w:r w:rsidRPr="00754625">
              <w:t xml:space="preserve">MTTF </w:t>
            </w:r>
          </w:p>
        </w:tc>
        <w:tc>
          <w:tcPr>
            <w:tcW w:w="1873" w:type="dxa"/>
          </w:tcPr>
          <w:p w14:paraId="23DC4C43" w14:textId="77777777" w:rsidR="00837C76" w:rsidRPr="00754625" w:rsidRDefault="00837C76" w:rsidP="0087154C">
            <w:r w:rsidRPr="00754625">
              <w:t>MDT</w:t>
            </w:r>
          </w:p>
        </w:tc>
        <w:tc>
          <w:tcPr>
            <w:tcW w:w="1834" w:type="dxa"/>
          </w:tcPr>
          <w:p w14:paraId="5566783D" w14:textId="77777777" w:rsidR="00837C76" w:rsidRPr="00754625" w:rsidRDefault="00837C76" w:rsidP="0087154C">
            <w:r w:rsidRPr="00EA5B2D">
              <w:rPr>
                <w:i/>
                <w:iCs/>
              </w:rPr>
              <w:sym w:font="Symbol" w:char="F074"/>
            </w:r>
            <w:r>
              <w:t xml:space="preserve"> (intervall)</w:t>
            </w:r>
          </w:p>
        </w:tc>
      </w:tr>
      <w:tr w:rsidR="00837C76" w:rsidRPr="00754625" w14:paraId="55320288" w14:textId="77777777" w:rsidTr="0087154C">
        <w:tc>
          <w:tcPr>
            <w:tcW w:w="3078" w:type="dxa"/>
          </w:tcPr>
          <w:p w14:paraId="728DC6E0" w14:textId="77777777" w:rsidR="00837C76" w:rsidRPr="00754625" w:rsidRDefault="00837C76" w:rsidP="0087154C">
            <w:r>
              <w:t>Gassturbin</w:t>
            </w:r>
            <w:r w:rsidRPr="00754625">
              <w:t xml:space="preserve"> </w:t>
            </w:r>
            <w:r>
              <w:t>(GT)</w:t>
            </w:r>
          </w:p>
        </w:tc>
        <w:tc>
          <w:tcPr>
            <w:tcW w:w="2231" w:type="dxa"/>
          </w:tcPr>
          <w:p w14:paraId="44137370" w14:textId="77777777" w:rsidR="00837C76" w:rsidRPr="00754625" w:rsidRDefault="00837C76" w:rsidP="0087154C">
            <w:r w:rsidRPr="00754625">
              <w:t>1 år</w:t>
            </w:r>
          </w:p>
        </w:tc>
        <w:tc>
          <w:tcPr>
            <w:tcW w:w="1873" w:type="dxa"/>
          </w:tcPr>
          <w:p w14:paraId="39407777" w14:textId="77777777" w:rsidR="00837C76" w:rsidRPr="00754625" w:rsidRDefault="00837C76" w:rsidP="0087154C">
            <w:r w:rsidRPr="00754625">
              <w:t>8 timer</w:t>
            </w:r>
          </w:p>
        </w:tc>
        <w:tc>
          <w:tcPr>
            <w:tcW w:w="1834" w:type="dxa"/>
          </w:tcPr>
          <w:p w14:paraId="7933D9A8" w14:textId="77777777" w:rsidR="00837C76" w:rsidRPr="00754625" w:rsidRDefault="00837C76" w:rsidP="0087154C"/>
        </w:tc>
      </w:tr>
      <w:tr w:rsidR="00837C76" w:rsidRPr="00754625" w14:paraId="3BDACD54" w14:textId="77777777" w:rsidTr="0087154C">
        <w:tc>
          <w:tcPr>
            <w:tcW w:w="3078" w:type="dxa"/>
          </w:tcPr>
          <w:p w14:paraId="7A980906" w14:textId="77777777" w:rsidR="00837C76" w:rsidRPr="00754625" w:rsidRDefault="00837C76" w:rsidP="0087154C">
            <w:r>
              <w:t>Svikt i gassforsyning (GF)</w:t>
            </w:r>
          </w:p>
        </w:tc>
        <w:tc>
          <w:tcPr>
            <w:tcW w:w="2231" w:type="dxa"/>
          </w:tcPr>
          <w:p w14:paraId="359F216B" w14:textId="77777777" w:rsidR="00837C76" w:rsidRPr="00754625" w:rsidRDefault="00837C76" w:rsidP="0087154C">
            <w:r w:rsidRPr="00754625">
              <w:t>2 år</w:t>
            </w:r>
          </w:p>
        </w:tc>
        <w:tc>
          <w:tcPr>
            <w:tcW w:w="1873" w:type="dxa"/>
          </w:tcPr>
          <w:p w14:paraId="34D1D1A0" w14:textId="77777777" w:rsidR="00837C76" w:rsidRPr="00754625" w:rsidRDefault="00837C76" w:rsidP="0087154C">
            <w:r w:rsidRPr="00754625">
              <w:t>24 timer</w:t>
            </w:r>
          </w:p>
        </w:tc>
        <w:tc>
          <w:tcPr>
            <w:tcW w:w="1834" w:type="dxa"/>
          </w:tcPr>
          <w:p w14:paraId="7063B31A" w14:textId="77777777" w:rsidR="00837C76" w:rsidRPr="00754625" w:rsidRDefault="00837C76" w:rsidP="0087154C"/>
        </w:tc>
      </w:tr>
      <w:tr w:rsidR="00837C76" w:rsidRPr="00754625" w14:paraId="5B4E8B4F" w14:textId="77777777" w:rsidTr="0087154C">
        <w:tc>
          <w:tcPr>
            <w:tcW w:w="3078" w:type="dxa"/>
          </w:tcPr>
          <w:p w14:paraId="5403E41C" w14:textId="77777777" w:rsidR="00837C76" w:rsidRPr="00754625" w:rsidRDefault="00837C76" w:rsidP="0087154C">
            <w:r>
              <w:t>Generator 1 (G1)</w:t>
            </w:r>
          </w:p>
        </w:tc>
        <w:tc>
          <w:tcPr>
            <w:tcW w:w="2231" w:type="dxa"/>
          </w:tcPr>
          <w:p w14:paraId="3452E2C9" w14:textId="77777777" w:rsidR="00837C76" w:rsidRPr="00754625" w:rsidRDefault="00837C76" w:rsidP="0087154C">
            <w:r>
              <w:t>3</w:t>
            </w:r>
            <w:r w:rsidRPr="00754625">
              <w:t xml:space="preserve"> år</w:t>
            </w:r>
          </w:p>
        </w:tc>
        <w:tc>
          <w:tcPr>
            <w:tcW w:w="1873" w:type="dxa"/>
          </w:tcPr>
          <w:p w14:paraId="6AD2FFF9" w14:textId="77777777" w:rsidR="00837C76" w:rsidRPr="00754625" w:rsidRDefault="00837C76" w:rsidP="0087154C">
            <w:r>
              <w:t>16</w:t>
            </w:r>
            <w:r w:rsidRPr="00754625">
              <w:t xml:space="preserve"> timer</w:t>
            </w:r>
          </w:p>
        </w:tc>
        <w:tc>
          <w:tcPr>
            <w:tcW w:w="1834" w:type="dxa"/>
          </w:tcPr>
          <w:p w14:paraId="3BB2F42F" w14:textId="77777777" w:rsidR="00837C76" w:rsidRPr="00754625" w:rsidRDefault="00837C76" w:rsidP="0087154C"/>
        </w:tc>
      </w:tr>
      <w:tr w:rsidR="00837C76" w:rsidRPr="00754625" w14:paraId="05B76B8B" w14:textId="77777777" w:rsidTr="0087154C">
        <w:tc>
          <w:tcPr>
            <w:tcW w:w="3078" w:type="dxa"/>
          </w:tcPr>
          <w:p w14:paraId="6F43468A" w14:textId="77777777" w:rsidR="00837C76" w:rsidRDefault="00837C76" w:rsidP="0087154C">
            <w:r>
              <w:t>Generator 2 (G2)</w:t>
            </w:r>
          </w:p>
        </w:tc>
        <w:tc>
          <w:tcPr>
            <w:tcW w:w="2231" w:type="dxa"/>
          </w:tcPr>
          <w:p w14:paraId="02F60B1B" w14:textId="77777777" w:rsidR="00837C76" w:rsidRPr="00754625" w:rsidRDefault="00837C76" w:rsidP="0087154C">
            <w:r>
              <w:t>5 år</w:t>
            </w:r>
          </w:p>
        </w:tc>
        <w:tc>
          <w:tcPr>
            <w:tcW w:w="1873" w:type="dxa"/>
          </w:tcPr>
          <w:p w14:paraId="3414BEBC" w14:textId="77777777" w:rsidR="00837C76" w:rsidRPr="00754625" w:rsidRDefault="00837C76" w:rsidP="0087154C"/>
        </w:tc>
        <w:tc>
          <w:tcPr>
            <w:tcW w:w="1834" w:type="dxa"/>
          </w:tcPr>
          <w:p w14:paraId="1AE6076C" w14:textId="77777777" w:rsidR="00837C76" w:rsidRPr="00754625" w:rsidRDefault="00837C76" w:rsidP="0087154C">
            <w:r>
              <w:t>4 måneder</w:t>
            </w:r>
          </w:p>
        </w:tc>
      </w:tr>
      <w:tr w:rsidR="00837C76" w:rsidRPr="00754625" w14:paraId="70DC9A35" w14:textId="77777777" w:rsidTr="0087154C">
        <w:tc>
          <w:tcPr>
            <w:tcW w:w="3078" w:type="dxa"/>
          </w:tcPr>
          <w:p w14:paraId="68A5548A" w14:textId="77777777" w:rsidR="00837C76" w:rsidRDefault="00837C76" w:rsidP="0087154C">
            <w:r>
              <w:t>Dieselmotor (DM)</w:t>
            </w:r>
          </w:p>
        </w:tc>
        <w:tc>
          <w:tcPr>
            <w:tcW w:w="2231" w:type="dxa"/>
          </w:tcPr>
          <w:p w14:paraId="29A90FF2" w14:textId="77777777" w:rsidR="00837C76" w:rsidRPr="00754625" w:rsidRDefault="00837C76" w:rsidP="0087154C">
            <w:r>
              <w:t>4 år</w:t>
            </w:r>
          </w:p>
        </w:tc>
        <w:tc>
          <w:tcPr>
            <w:tcW w:w="1873" w:type="dxa"/>
          </w:tcPr>
          <w:p w14:paraId="55D57A46" w14:textId="77777777" w:rsidR="00837C76" w:rsidRPr="00754625" w:rsidRDefault="00837C76" w:rsidP="0087154C"/>
        </w:tc>
        <w:tc>
          <w:tcPr>
            <w:tcW w:w="1834" w:type="dxa"/>
          </w:tcPr>
          <w:p w14:paraId="79C0B494" w14:textId="77777777" w:rsidR="00837C76" w:rsidRPr="00754625" w:rsidRDefault="00837C76" w:rsidP="0087154C">
            <w:r>
              <w:t>4 måneder</w:t>
            </w:r>
          </w:p>
        </w:tc>
      </w:tr>
      <w:tr w:rsidR="00837C76" w:rsidRPr="00754625" w14:paraId="292F1EE1" w14:textId="77777777" w:rsidTr="0087154C">
        <w:tc>
          <w:tcPr>
            <w:tcW w:w="3078" w:type="dxa"/>
          </w:tcPr>
          <w:p w14:paraId="5A14DA9D" w14:textId="77777777" w:rsidR="00837C76" w:rsidRDefault="00837C76" w:rsidP="0087154C">
            <w:r>
              <w:t>Svikt i dieselforsyning (DF)</w:t>
            </w:r>
          </w:p>
        </w:tc>
        <w:tc>
          <w:tcPr>
            <w:tcW w:w="2231" w:type="dxa"/>
          </w:tcPr>
          <w:p w14:paraId="6D13A082" w14:textId="77777777" w:rsidR="00837C76" w:rsidRPr="00754625" w:rsidRDefault="00837C76" w:rsidP="0087154C">
            <w:r>
              <w:t>5 år</w:t>
            </w:r>
          </w:p>
        </w:tc>
        <w:tc>
          <w:tcPr>
            <w:tcW w:w="1873" w:type="dxa"/>
          </w:tcPr>
          <w:p w14:paraId="25019583" w14:textId="77777777" w:rsidR="00837C76" w:rsidRPr="00754625" w:rsidRDefault="00837C76" w:rsidP="0087154C"/>
        </w:tc>
        <w:tc>
          <w:tcPr>
            <w:tcW w:w="1834" w:type="dxa"/>
          </w:tcPr>
          <w:p w14:paraId="48D186D9" w14:textId="77777777" w:rsidR="00837C76" w:rsidRPr="00754625" w:rsidRDefault="00837C76" w:rsidP="0087154C">
            <w:r>
              <w:t>4 måneder</w:t>
            </w:r>
          </w:p>
        </w:tc>
      </w:tr>
    </w:tbl>
    <w:p w14:paraId="0FC074BC" w14:textId="77777777" w:rsidR="00837C76" w:rsidRPr="00754625" w:rsidRDefault="00837C76" w:rsidP="00837C76"/>
    <w:p w14:paraId="654AFF5A" w14:textId="77777777" w:rsidR="00837C76" w:rsidRPr="00754625" w:rsidRDefault="00837C76" w:rsidP="00837C76"/>
    <w:p w14:paraId="0932FC3C" w14:textId="77777777" w:rsidR="00837C76" w:rsidRPr="00754625" w:rsidRDefault="00837C76" w:rsidP="00837C76">
      <w:r>
        <w:object w:dxaOrig="9991" w:dyaOrig="5801" w14:anchorId="59C6B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5pt;height:187pt" o:ole="">
            <v:imagedata r:id="rId5" o:title=""/>
          </v:shape>
          <o:OLEObject Type="Embed" ProgID="Visio.Drawing.15" ShapeID="_x0000_i1025" DrawAspect="Content" ObjectID="_1820260871" r:id="rId6"/>
        </w:object>
      </w:r>
    </w:p>
    <w:p w14:paraId="040349CA" w14:textId="77777777" w:rsidR="00837C76" w:rsidRPr="00754625" w:rsidRDefault="00837C76" w:rsidP="00837C76">
      <w:pPr>
        <w:pStyle w:val="Caption"/>
      </w:pPr>
      <w:bookmarkStart w:id="1" w:name="_Ref289101147"/>
      <w:bookmarkStart w:id="2" w:name="_Ref289101135"/>
      <w:r w:rsidRPr="00754625"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"/>
      <w:r w:rsidRPr="00754625">
        <w:t xml:space="preserve"> </w:t>
      </w:r>
      <w:bookmarkEnd w:id="2"/>
      <w:r>
        <w:t>Generatorsystem for strøm</w:t>
      </w:r>
    </w:p>
    <w:p w14:paraId="65C56A93" w14:textId="77777777" w:rsidR="00837C76" w:rsidRPr="00754625" w:rsidRDefault="00837C76" w:rsidP="00837C76">
      <w:pPr>
        <w:numPr>
          <w:ilvl w:val="0"/>
          <w:numId w:val="1"/>
        </w:numPr>
        <w:suppressAutoHyphens w:val="0"/>
        <w:autoSpaceDN/>
        <w:textAlignment w:val="auto"/>
      </w:pPr>
      <w:r w:rsidRPr="00754625">
        <w:t xml:space="preserve">Tegn et </w:t>
      </w:r>
      <w:r>
        <w:t>pålitelighetsblokkdiagram for systemet med hensyn på å produsere strøm.</w:t>
      </w:r>
    </w:p>
    <w:p w14:paraId="61966FD4" w14:textId="77777777" w:rsidR="00837C76" w:rsidRDefault="00837C76" w:rsidP="00837C76">
      <w:pPr>
        <w:numPr>
          <w:ilvl w:val="0"/>
          <w:numId w:val="1"/>
        </w:numPr>
        <w:tabs>
          <w:tab w:val="num" w:pos="540"/>
        </w:tabs>
        <w:suppressAutoHyphens w:val="0"/>
        <w:autoSpaceDN/>
        <w:textAlignment w:val="auto"/>
      </w:pPr>
      <w:r>
        <w:t>Finn strukturfunksjonen til systemet</w:t>
      </w:r>
      <w:r w:rsidRPr="00754625">
        <w:t>.</w:t>
      </w:r>
    </w:p>
    <w:p w14:paraId="634CFD77" w14:textId="77777777" w:rsidR="00837C76" w:rsidRPr="00754625" w:rsidRDefault="00837C76" w:rsidP="00837C76">
      <w:pPr>
        <w:numPr>
          <w:ilvl w:val="0"/>
          <w:numId w:val="1"/>
        </w:numPr>
        <w:tabs>
          <w:tab w:val="num" w:pos="540"/>
        </w:tabs>
        <w:suppressAutoHyphens w:val="0"/>
        <w:autoSpaceDN/>
        <w:textAlignment w:val="auto"/>
      </w:pPr>
      <w:r>
        <w:t xml:space="preserve">Forklar dataene gitt i </w:t>
      </w:r>
      <w:r>
        <w:fldChar w:fldCharType="begin"/>
      </w:r>
      <w:r>
        <w:instrText xml:space="preserve"> REF _Ref131841471 \h </w:instrText>
      </w:r>
      <w:r>
        <w:fldChar w:fldCharType="separate"/>
      </w:r>
      <w:r>
        <w:t xml:space="preserve">Tabell </w:t>
      </w:r>
      <w:r>
        <w:rPr>
          <w:noProof/>
        </w:rPr>
        <w:t>1</w:t>
      </w:r>
      <w:r>
        <w:fldChar w:fldCharType="end"/>
      </w:r>
      <w:r>
        <w:t xml:space="preserve">, og finn pålitelighetene til hver komponent. Anta at det er døgnkontinuerlig drift, </w:t>
      </w:r>
      <w:proofErr w:type="spellStart"/>
      <w:r>
        <w:t>dvs</w:t>
      </w:r>
      <w:proofErr w:type="spellEnd"/>
      <w:r>
        <w:t xml:space="preserve"> drift i 8 760 timer per år.</w:t>
      </w:r>
    </w:p>
    <w:p w14:paraId="7E569C4E" w14:textId="67C6D48B" w:rsidR="00837C76" w:rsidRDefault="00837C76" w:rsidP="00837C76">
      <w:pPr>
        <w:numPr>
          <w:ilvl w:val="0"/>
          <w:numId w:val="1"/>
        </w:numPr>
        <w:tabs>
          <w:tab w:val="num" w:pos="540"/>
        </w:tabs>
        <w:suppressAutoHyphens w:val="0"/>
        <w:autoSpaceDN/>
        <w:textAlignment w:val="auto"/>
      </w:pPr>
      <w:r w:rsidRPr="00754625">
        <w:t xml:space="preserve">Finn </w:t>
      </w:r>
      <w:r>
        <w:t xml:space="preserve">systempåliteligheten til systemet, og </w:t>
      </w:r>
      <w:proofErr w:type="spellStart"/>
      <w:r>
        <w:t>beregn</w:t>
      </w:r>
      <w:proofErr w:type="spellEnd"/>
      <w:r>
        <w:t xml:space="preserve"> forventet antall timer per år hvor det ikke produseres strøm.</w:t>
      </w:r>
    </w:p>
    <w:p w14:paraId="5BB745AF" w14:textId="77777777" w:rsidR="00837C76" w:rsidRDefault="00837C76" w:rsidP="00837C76"/>
    <w:p w14:paraId="23689958" w14:textId="77777777" w:rsidR="00837C76" w:rsidRDefault="00837C76" w:rsidP="00837C76">
      <w:pPr>
        <w:suppressAutoHyphens w:val="0"/>
        <w:autoSpaceDE w:val="0"/>
        <w:adjustRightInd w:val="0"/>
        <w:textAlignment w:val="auto"/>
      </w:pPr>
    </w:p>
    <w:p w14:paraId="7ECF8AF3" w14:textId="77777777" w:rsidR="00837C76" w:rsidRDefault="00837C76" w:rsidP="00837C76">
      <w:pPr>
        <w:pStyle w:val="Title"/>
      </w:pPr>
      <w:r>
        <w:lastRenderedPageBreak/>
        <w:t>Tentativ løsning</w:t>
      </w:r>
    </w:p>
    <w:p w14:paraId="0FA47374" w14:textId="77777777" w:rsidR="00837C76" w:rsidRDefault="00837C76" w:rsidP="00837C76">
      <w:r>
        <w:t>a) Pålitelighetsblokkdiagram</w:t>
      </w:r>
    </w:p>
    <w:p w14:paraId="32EDE7DB" w14:textId="77777777" w:rsidR="00837C76" w:rsidRDefault="00837C76" w:rsidP="00837C76"/>
    <w:p w14:paraId="6BE497AB" w14:textId="77777777" w:rsidR="00837C76" w:rsidRDefault="00837C76" w:rsidP="00837C76">
      <w:r>
        <w:object w:dxaOrig="4821" w:dyaOrig="1771" w14:anchorId="36C7D785">
          <v:shape id="_x0000_i1026" type="#_x0000_t75" style="width:241pt;height:88.5pt" o:ole="">
            <v:imagedata r:id="rId7" o:title=""/>
          </v:shape>
          <o:OLEObject Type="Embed" ProgID="Visio.Drawing.15" ShapeID="_x0000_i1026" DrawAspect="Content" ObjectID="_1820260872" r:id="rId8"/>
        </w:object>
      </w:r>
    </w:p>
    <w:p w14:paraId="3B9B7687" w14:textId="77777777" w:rsidR="00837C76" w:rsidRDefault="00837C76" w:rsidP="00837C76"/>
    <w:p w14:paraId="561EF92D" w14:textId="77777777" w:rsidR="00837C76" w:rsidRDefault="00837C76" w:rsidP="00837C76">
      <w:pPr>
        <w:rPr>
          <w:vertAlign w:val="subscript"/>
        </w:rPr>
      </w:pPr>
      <w:r>
        <w:t>b</w:t>
      </w:r>
      <w:r w:rsidRPr="00226103">
        <w:t>)</w:t>
      </w:r>
      <w:r>
        <w:rPr>
          <w:i/>
          <w:iCs/>
        </w:rPr>
        <w:t xml:space="preserve"> </w:t>
      </w:r>
      <w:r w:rsidRPr="00226103">
        <w:t>Strukturfunksjon:</w:t>
      </w:r>
      <w:r>
        <w:rPr>
          <w:i/>
          <w:iCs/>
        </w:rPr>
        <w:t xml:space="preserve"> ϕ</w:t>
      </w:r>
      <w:r>
        <w:t>(</w:t>
      </w:r>
      <w:r>
        <w:rPr>
          <w:b/>
          <w:bCs/>
          <w:i/>
          <w:iCs/>
        </w:rPr>
        <w:t>x</w:t>
      </w:r>
      <w:r>
        <w:t xml:space="preserve">) = </w:t>
      </w:r>
      <w:r>
        <w:rPr>
          <w:i/>
          <w:iCs/>
        </w:rPr>
        <w:t>x</w:t>
      </w:r>
      <w:r>
        <w:rPr>
          <w:vertAlign w:val="subscript"/>
        </w:rPr>
        <w:t>GF</w:t>
      </w:r>
      <w:r>
        <w:rPr>
          <w:i/>
          <w:iCs/>
        </w:rPr>
        <w:t>x</w:t>
      </w:r>
      <w:r>
        <w:rPr>
          <w:vertAlign w:val="subscript"/>
        </w:rPr>
        <w:t>GT</w:t>
      </w:r>
      <w:r>
        <w:rPr>
          <w:i/>
          <w:iCs/>
        </w:rPr>
        <w:t>x</w:t>
      </w:r>
      <w:r>
        <w:rPr>
          <w:vertAlign w:val="subscript"/>
        </w:rPr>
        <w:t>G1</w:t>
      </w:r>
      <w:r>
        <w:t>+</w:t>
      </w:r>
      <w:r>
        <w:rPr>
          <w:i/>
          <w:iCs/>
        </w:rPr>
        <w:t>x</w:t>
      </w:r>
      <w:r>
        <w:rPr>
          <w:vertAlign w:val="subscript"/>
        </w:rPr>
        <w:t>DF</w:t>
      </w:r>
      <w:r>
        <w:rPr>
          <w:i/>
          <w:iCs/>
        </w:rPr>
        <w:t>x</w:t>
      </w:r>
      <w:r>
        <w:rPr>
          <w:vertAlign w:val="subscript"/>
        </w:rPr>
        <w:t>DM</w:t>
      </w:r>
      <w:r>
        <w:rPr>
          <w:i/>
          <w:iCs/>
        </w:rPr>
        <w:t>x</w:t>
      </w:r>
      <w:r>
        <w:rPr>
          <w:vertAlign w:val="subscript"/>
        </w:rPr>
        <w:t>G2</w:t>
      </w:r>
      <w:r>
        <w:t>-</w:t>
      </w:r>
      <w:r w:rsidRPr="00BF7119">
        <w:rPr>
          <w:i/>
          <w:iCs/>
        </w:rPr>
        <w:t xml:space="preserve"> </w:t>
      </w:r>
      <w:r>
        <w:rPr>
          <w:i/>
          <w:iCs/>
        </w:rPr>
        <w:t>x</w:t>
      </w:r>
      <w:r>
        <w:rPr>
          <w:vertAlign w:val="subscript"/>
        </w:rPr>
        <w:t>GF</w:t>
      </w:r>
      <w:r>
        <w:rPr>
          <w:i/>
          <w:iCs/>
        </w:rPr>
        <w:t>x</w:t>
      </w:r>
      <w:r>
        <w:rPr>
          <w:vertAlign w:val="subscript"/>
        </w:rPr>
        <w:t>GT</w:t>
      </w:r>
      <w:r>
        <w:rPr>
          <w:i/>
          <w:iCs/>
        </w:rPr>
        <w:t>x</w:t>
      </w:r>
      <w:r>
        <w:rPr>
          <w:vertAlign w:val="subscript"/>
        </w:rPr>
        <w:t>G1</w:t>
      </w:r>
      <w:r>
        <w:rPr>
          <w:i/>
          <w:iCs/>
        </w:rPr>
        <w:t>x</w:t>
      </w:r>
      <w:r>
        <w:rPr>
          <w:vertAlign w:val="subscript"/>
        </w:rPr>
        <w:t>DF</w:t>
      </w:r>
      <w:r>
        <w:rPr>
          <w:i/>
          <w:iCs/>
        </w:rPr>
        <w:t>x</w:t>
      </w:r>
      <w:r>
        <w:rPr>
          <w:vertAlign w:val="subscript"/>
        </w:rPr>
        <w:t>DM</w:t>
      </w:r>
      <w:r>
        <w:rPr>
          <w:i/>
          <w:iCs/>
        </w:rPr>
        <w:t>x</w:t>
      </w:r>
      <w:r>
        <w:rPr>
          <w:vertAlign w:val="subscript"/>
        </w:rPr>
        <w:t>G2</w:t>
      </w:r>
    </w:p>
    <w:p w14:paraId="7D4A0EE8" w14:textId="77777777" w:rsidR="00837C76" w:rsidRDefault="00837C76" w:rsidP="00837C76"/>
    <w:p w14:paraId="1D2AD923" w14:textId="77777777" w:rsidR="00837C76" w:rsidRDefault="00837C76" w:rsidP="00837C76">
      <w:pPr>
        <w:rPr>
          <w:rFonts w:ascii="Calibri" w:hAnsi="Calibri" w:cs="Calibri"/>
          <w:color w:val="000000"/>
          <w:sz w:val="22"/>
          <w:szCs w:val="22"/>
        </w:rPr>
      </w:pPr>
      <w:r w:rsidRPr="004B5D27">
        <w:t>c</w:t>
      </w:r>
      <w:r>
        <w:t>) MTTF er midlere tid til svikt, MDT er midlere nedetid. MDT gis kun for hovedsystemet, da reservesystemet antas å ha kort nedetid sammenlignet med intervallet for funksjonstesting. Intervall for funksjonstest (</w:t>
      </w:r>
      <w:r>
        <w:sym w:font="Symbol" w:char="F074"/>
      </w:r>
      <w:r>
        <w:t xml:space="preserve">) angis kun for reservesystemet. Formel for pålitelighet per komponent, som vi her måler ved tilgjengelighet, er for hovedsystemet: </w:t>
      </w:r>
      <w:r w:rsidRPr="003F3564">
        <w:rPr>
          <w:rFonts w:ascii="Calibri" w:hAnsi="Calibri" w:cs="Calibri"/>
          <w:i/>
          <w:iCs/>
          <w:color w:val="000000"/>
          <w:sz w:val="22"/>
          <w:szCs w:val="22"/>
        </w:rPr>
        <w:t xml:space="preserve">p </w:t>
      </w:r>
      <w:r w:rsidRPr="00B363F9">
        <w:t>=</w:t>
      </w:r>
      <w:r w:rsidRPr="003F3564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A </w:t>
      </w:r>
      <w:r w:rsidRPr="00B363F9">
        <w:t>=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3F3564">
        <w:rPr>
          <w:rFonts w:ascii="Calibri" w:hAnsi="Calibri" w:cs="Calibri"/>
          <w:color w:val="000000"/>
          <w:sz w:val="22"/>
          <w:szCs w:val="22"/>
        </w:rPr>
        <w:t>MTTF/(MTTF+MDT)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F60E45">
        <w:t xml:space="preserve">For </w:t>
      </w:r>
      <w:r>
        <w:t xml:space="preserve">reservesystemet er formelen </w:t>
      </w:r>
      <w:r w:rsidRPr="005F4987">
        <w:rPr>
          <w:rFonts w:ascii="Calibri" w:hAnsi="Calibri" w:cs="Calibri"/>
          <w:i/>
          <w:iCs/>
          <w:color w:val="000000"/>
          <w:sz w:val="22"/>
          <w:szCs w:val="22"/>
        </w:rPr>
        <w:t xml:space="preserve">p </w:t>
      </w:r>
      <w:r w:rsidRPr="00B363F9">
        <w:t>=</w:t>
      </w:r>
      <w:r w:rsidRPr="005F4987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1F4DE8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- q </w:t>
      </w:r>
      <w:r w:rsidRPr="0009180E">
        <w:t>=</w:t>
      </w:r>
      <w:r>
        <w:t xml:space="preserve"> </w:t>
      </w:r>
      <w:r w:rsidRPr="001F4DE8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4DE8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F4DE8">
        <w:rPr>
          <w:rFonts w:ascii="Calibri" w:hAnsi="Calibri" w:cs="Calibri"/>
          <w:i/>
          <w:iCs/>
          <w:color w:val="000000"/>
          <w:sz w:val="22"/>
          <w:szCs w:val="22"/>
        </w:rPr>
        <w:t>U</w:t>
      </w:r>
      <w:r>
        <w:t xml:space="preserve"> =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5F4987"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4987">
        <w:rPr>
          <w:rFonts w:ascii="Calibri" w:hAnsi="Calibri" w:cs="Calibri"/>
          <w:i/>
          <w:iCs/>
          <w:color w:val="000000"/>
          <w:sz w:val="22"/>
          <w:szCs w:val="22"/>
        </w:rPr>
        <w:t>-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5F4987">
        <w:rPr>
          <w:i/>
          <w:iCs/>
        </w:rPr>
        <w:sym w:font="Symbol" w:char="F074"/>
      </w:r>
      <w:r w:rsidRPr="005F4987">
        <w:rPr>
          <w:rFonts w:ascii="Calibri" w:hAnsi="Calibri" w:cs="Calibri"/>
          <w:color w:val="000000"/>
          <w:sz w:val="22"/>
          <w:szCs w:val="22"/>
        </w:rPr>
        <w:t>/(2MTTF)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FD8DB20" w14:textId="77777777" w:rsidR="00837C76" w:rsidRDefault="00837C76" w:rsidP="00837C76">
      <w:pPr>
        <w:rPr>
          <w:rFonts w:ascii="Calibri" w:hAnsi="Calibri" w:cs="Calibri"/>
          <w:color w:val="000000"/>
          <w:sz w:val="22"/>
          <w:szCs w:val="22"/>
        </w:rPr>
      </w:pPr>
    </w:p>
    <w:p w14:paraId="0D5B1213" w14:textId="77777777" w:rsidR="00837C76" w:rsidRDefault="00837C76" w:rsidP="00837C76">
      <w:r>
        <w:t xml:space="preserve">Dette gir </w:t>
      </w:r>
      <w:r w:rsidRPr="00EB4BDD">
        <w:t xml:space="preserve">følgende </w:t>
      </w:r>
      <w:r>
        <w:t xml:space="preserve">verdier for </w:t>
      </w:r>
      <w:r w:rsidRPr="00E97828">
        <w:rPr>
          <w:i/>
          <w:iCs/>
        </w:rPr>
        <w:t>p</w:t>
      </w:r>
      <w:r>
        <w:t xml:space="preserve"> og </w:t>
      </w:r>
      <w:r>
        <w:rPr>
          <w:i/>
          <w:iCs/>
        </w:rPr>
        <w:t>q</w:t>
      </w:r>
      <w:r w:rsidRPr="00EB4BDD">
        <w:t>:</w:t>
      </w:r>
    </w:p>
    <w:p w14:paraId="79D12642" w14:textId="77777777" w:rsidR="00837C76" w:rsidRDefault="00837C76" w:rsidP="00837C76"/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52"/>
        <w:gridCol w:w="813"/>
        <w:gridCol w:w="1418"/>
        <w:gridCol w:w="2383"/>
        <w:gridCol w:w="975"/>
      </w:tblGrid>
      <w:tr w:rsidR="00837C76" w14:paraId="5146ABE0" w14:textId="77777777" w:rsidTr="0087154C">
        <w:trPr>
          <w:trHeight w:val="420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5BD7E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Enhet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36D01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MTTF (år)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99E39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MDT (timer)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267C8E6" w14:textId="77777777" w:rsidR="00837C76" w:rsidRDefault="00837C76" w:rsidP="0087154C">
            <w:pPr>
              <w:keepNext/>
              <w:keepLines/>
              <w:rPr>
                <w:rFonts w:ascii="Symbol" w:hAnsi="Symbol" w:cs="Calibri"/>
                <w:b/>
                <w:bCs/>
                <w:color w:val="000000"/>
              </w:rPr>
            </w:pPr>
            <w:r>
              <w:rPr>
                <w:rFonts w:ascii="Symbol" w:hAnsi="Symbol" w:cs="Calibri"/>
                <w:b/>
                <w:bCs/>
                <w:color w:val="000000"/>
              </w:rPr>
              <w:sym w:font="Symbol" w:char="F074"/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sym w:font="Symbol" w:char="F028"/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måneder</w:t>
            </w:r>
            <w:r>
              <w:rPr>
                <w:b/>
                <w:bCs/>
                <w:color w:val="000000"/>
              </w:rPr>
              <w:sym w:font="Symbol" w:char="F029"/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2F161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MTTF/(MTTF+MDT)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2D733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q=1-p</w:t>
            </w:r>
          </w:p>
        </w:tc>
      </w:tr>
      <w:tr w:rsidR="00837C76" w14:paraId="17A9ABF3" w14:textId="77777777" w:rsidTr="0087154C">
        <w:trPr>
          <w:trHeight w:val="225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3E2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00F7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08F4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2050FB" w14:textId="77777777" w:rsidR="00837C76" w:rsidRDefault="00837C76" w:rsidP="0087154C">
            <w:pPr>
              <w:keepNext/>
              <w:keepLines/>
              <w:rPr>
                <w:rFonts w:ascii="Symbol" w:hAnsi="Symbol" w:cs="Calibri"/>
                <w:b/>
                <w:bCs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F8CF1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=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-</w:t>
            </w:r>
            <w:r>
              <w:rPr>
                <w:rFonts w:ascii="Symbol" w:hAnsi="Symbol" w:cs="Calibri"/>
                <w:b/>
                <w:bCs/>
                <w:i/>
                <w:iCs/>
                <w:color w:val="00000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/(2MTTF)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D8A2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7C76" w14:paraId="2D34EC2A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EBC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Gassturbin (GT)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ABF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032B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6408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77D3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3" w:name="RANGE!E7"/>
            <w:r>
              <w:rPr>
                <w:rFonts w:ascii="Arial" w:hAnsi="Arial" w:cs="Arial"/>
                <w:color w:val="000000"/>
                <w:sz w:val="20"/>
              </w:rPr>
              <w:t>0.999087591</w:t>
            </w:r>
            <w:bookmarkEnd w:id="3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A93A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4" w:name="RANGE!F7"/>
            <w:r>
              <w:rPr>
                <w:rFonts w:ascii="Arial" w:hAnsi="Arial" w:cs="Arial"/>
                <w:color w:val="000000"/>
                <w:sz w:val="20"/>
              </w:rPr>
              <w:t>0.000912</w:t>
            </w:r>
            <w:bookmarkEnd w:id="4"/>
          </w:p>
        </w:tc>
      </w:tr>
      <w:tr w:rsidR="00837C76" w14:paraId="08599CC6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D5C8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Svikt i gassforsyning (GF)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4148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4904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DA9F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DA22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5" w:name="RANGE!E8"/>
            <w:r>
              <w:rPr>
                <w:rFonts w:ascii="Arial" w:hAnsi="Arial" w:cs="Arial"/>
                <w:color w:val="000000"/>
                <w:sz w:val="20"/>
              </w:rPr>
              <w:t>0.998632011</w:t>
            </w:r>
            <w:bookmarkEnd w:id="5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120F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6" w:name="RANGE!F8"/>
            <w:r>
              <w:rPr>
                <w:rFonts w:ascii="Arial" w:hAnsi="Arial" w:cs="Arial"/>
                <w:color w:val="000000"/>
                <w:sz w:val="20"/>
              </w:rPr>
              <w:t>0.001368</w:t>
            </w:r>
            <w:bookmarkEnd w:id="6"/>
          </w:p>
        </w:tc>
      </w:tr>
      <w:tr w:rsidR="00837C76" w14:paraId="192926D7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0ACE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Generator 1 (G1)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677C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FA8D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2C0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8F95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7" w:name="RANGE!E9"/>
            <w:r>
              <w:rPr>
                <w:rFonts w:ascii="Arial" w:hAnsi="Arial" w:cs="Arial"/>
                <w:color w:val="000000"/>
                <w:sz w:val="20"/>
              </w:rPr>
              <w:t>0.999391542</w:t>
            </w:r>
            <w:bookmarkEnd w:id="7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2D2E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8" w:name="RANGE!F9"/>
            <w:r>
              <w:rPr>
                <w:rFonts w:ascii="Arial" w:hAnsi="Arial" w:cs="Arial"/>
                <w:color w:val="000000"/>
                <w:sz w:val="20"/>
              </w:rPr>
              <w:t>0.000608</w:t>
            </w:r>
            <w:bookmarkEnd w:id="8"/>
          </w:p>
        </w:tc>
      </w:tr>
      <w:tr w:rsidR="00837C76" w14:paraId="44972B07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383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Generator 2 (G2)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547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C2B9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E315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9F74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9" w:name="RANGE!E10"/>
            <w:r>
              <w:rPr>
                <w:rFonts w:ascii="Arial" w:hAnsi="Arial" w:cs="Arial"/>
                <w:color w:val="000000"/>
                <w:sz w:val="20"/>
              </w:rPr>
              <w:t>0.966666667</w:t>
            </w:r>
            <w:bookmarkEnd w:id="9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04AD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0" w:name="RANGE!F10"/>
            <w:r>
              <w:rPr>
                <w:rFonts w:ascii="Arial" w:hAnsi="Arial" w:cs="Arial"/>
                <w:color w:val="000000"/>
                <w:sz w:val="20"/>
              </w:rPr>
              <w:t>0.033333</w:t>
            </w:r>
            <w:bookmarkEnd w:id="10"/>
          </w:p>
        </w:tc>
      </w:tr>
      <w:tr w:rsidR="00837C76" w14:paraId="65A820EA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7EA3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Dieselmotor (DM)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DEB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D66A9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444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EA7E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1" w:name="RANGE!E11"/>
            <w:r>
              <w:rPr>
                <w:rFonts w:ascii="Arial" w:hAnsi="Arial" w:cs="Arial"/>
                <w:color w:val="000000"/>
                <w:sz w:val="20"/>
              </w:rPr>
              <w:t>0.958333333</w:t>
            </w:r>
            <w:bookmarkEnd w:id="11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E326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2" w:name="RANGE!F11"/>
            <w:r>
              <w:rPr>
                <w:rFonts w:ascii="Arial" w:hAnsi="Arial" w:cs="Arial"/>
                <w:color w:val="000000"/>
                <w:sz w:val="20"/>
              </w:rPr>
              <w:t>0.041667</w:t>
            </w:r>
            <w:bookmarkEnd w:id="12"/>
          </w:p>
        </w:tc>
      </w:tr>
      <w:tr w:rsidR="00837C76" w14:paraId="461CA3C4" w14:textId="77777777" w:rsidTr="0087154C">
        <w:trPr>
          <w:trHeight w:val="300"/>
        </w:trPr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170" w14:textId="77777777" w:rsidR="00837C76" w:rsidRDefault="00837C76" w:rsidP="0087154C">
            <w:pPr>
              <w:keepNext/>
              <w:keepLines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Svikt i dieselforsyning (DF)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6D1F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CC8" w14:textId="77777777" w:rsidR="00837C76" w:rsidRDefault="00837C76" w:rsidP="0087154C">
            <w:pPr>
              <w:keepNext/>
              <w:keepLines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CB6C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D51D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3" w:name="RANGE!E12"/>
            <w:r>
              <w:rPr>
                <w:rFonts w:ascii="Arial" w:hAnsi="Arial" w:cs="Arial"/>
                <w:color w:val="000000"/>
                <w:sz w:val="20"/>
              </w:rPr>
              <w:t>0.966666667</w:t>
            </w:r>
            <w:bookmarkEnd w:id="13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7C13" w14:textId="77777777" w:rsidR="00837C76" w:rsidRDefault="00837C76" w:rsidP="0087154C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20"/>
              </w:rPr>
            </w:pPr>
            <w:bookmarkStart w:id="14" w:name="RANGE!F12"/>
            <w:r>
              <w:rPr>
                <w:rFonts w:ascii="Arial" w:hAnsi="Arial" w:cs="Arial"/>
                <w:color w:val="000000"/>
                <w:sz w:val="20"/>
              </w:rPr>
              <w:t>0.033333</w:t>
            </w:r>
            <w:bookmarkEnd w:id="14"/>
          </w:p>
        </w:tc>
      </w:tr>
    </w:tbl>
    <w:p w14:paraId="53C37F41" w14:textId="77777777" w:rsidR="00837C76" w:rsidRDefault="00837C76" w:rsidP="00837C76"/>
    <w:p w14:paraId="0DF5C46C" w14:textId="77777777" w:rsidR="00837C76" w:rsidRDefault="00837C76" w:rsidP="00837C76">
      <w:r>
        <w:t>Her er MTTF tallene er multiplisert med 8760 (</w:t>
      </w:r>
      <w:proofErr w:type="spellStart"/>
      <w:r>
        <w:t>dvs</w:t>
      </w:r>
      <w:proofErr w:type="spellEnd"/>
      <w:r>
        <w:t xml:space="preserve"> antall timer i ett år) for å beregne pålitelighetene, og testintervallene er tilsvarende multiplisert med 730.</w:t>
      </w:r>
    </w:p>
    <w:p w14:paraId="287D149D" w14:textId="77777777" w:rsidR="00837C76" w:rsidRPr="004B5D27" w:rsidRDefault="00837C76" w:rsidP="00837C76"/>
    <w:p w14:paraId="618C9969" w14:textId="77777777" w:rsidR="00837C76" w:rsidRDefault="00837C76" w:rsidP="00837C76">
      <w:pPr>
        <w:rPr>
          <w:b/>
          <w:bCs/>
          <w:i/>
          <w:iCs/>
        </w:rPr>
      </w:pPr>
      <w:r>
        <w:t>d</w:t>
      </w:r>
      <w:r w:rsidRPr="00226103">
        <w:t>)</w:t>
      </w:r>
      <w:r>
        <w:rPr>
          <w:b/>
          <w:bCs/>
          <w:i/>
          <w:iCs/>
        </w:rPr>
        <w:t xml:space="preserve"> </w:t>
      </w:r>
      <w:r w:rsidRPr="00226103">
        <w:t>Systempålitelighet:</w:t>
      </w:r>
      <w:r>
        <w:rPr>
          <w:b/>
          <w:bCs/>
          <w:i/>
          <w:iCs/>
        </w:rPr>
        <w:t xml:space="preserve"> </w:t>
      </w:r>
    </w:p>
    <w:p w14:paraId="69E62AD5" w14:textId="0847BA01" w:rsidR="00837C76" w:rsidRDefault="00837C76" w:rsidP="00837C76">
      <w:pPr>
        <w:ind w:left="709"/>
      </w:pPr>
      <w:proofErr w:type="spellStart"/>
      <w:r>
        <w:rPr>
          <w:b/>
          <w:bCs/>
          <w:i/>
          <w:iCs/>
        </w:rPr>
        <w:t>p</w:t>
      </w:r>
      <w:r>
        <w:rPr>
          <w:i/>
          <w:iCs/>
          <w:vertAlign w:val="subscript"/>
        </w:rPr>
        <w:t>S</w:t>
      </w:r>
      <w:proofErr w:type="spellEnd"/>
      <w:r>
        <w:t xml:space="preserve"> </w:t>
      </w:r>
      <w:r>
        <w:t xml:space="preserve">= </w:t>
      </w:r>
      <w:r w:rsidRPr="00837C76">
        <w:rPr>
          <w:i/>
          <w:iCs/>
        </w:rPr>
        <w:t>h</w:t>
      </w:r>
      <w:r>
        <w:t>(</w:t>
      </w:r>
      <w:r w:rsidRPr="00837C76">
        <w:rPr>
          <w:b/>
          <w:bCs/>
        </w:rPr>
        <w:t>p</w:t>
      </w:r>
      <w:r>
        <w:t xml:space="preserve">) </w:t>
      </w:r>
      <w:r>
        <w:t xml:space="preserve">= </w:t>
      </w:r>
      <w:r>
        <w:rPr>
          <w:i/>
          <w:iCs/>
        </w:rPr>
        <w:t>p</w:t>
      </w:r>
      <w:r>
        <w:rPr>
          <w:vertAlign w:val="subscript"/>
        </w:rPr>
        <w:t>GF</w:t>
      </w:r>
      <w:r>
        <w:rPr>
          <w:i/>
          <w:iCs/>
        </w:rPr>
        <w:t>p</w:t>
      </w:r>
      <w:r>
        <w:rPr>
          <w:vertAlign w:val="subscript"/>
        </w:rPr>
        <w:t>GT</w:t>
      </w:r>
      <w:r>
        <w:rPr>
          <w:i/>
          <w:iCs/>
        </w:rPr>
        <w:t>p</w:t>
      </w:r>
      <w:r>
        <w:rPr>
          <w:vertAlign w:val="subscript"/>
        </w:rPr>
        <w:t>G1</w:t>
      </w:r>
      <w:r>
        <w:t>+</w:t>
      </w:r>
      <w:r>
        <w:rPr>
          <w:i/>
          <w:iCs/>
        </w:rPr>
        <w:t>p</w:t>
      </w:r>
      <w:r>
        <w:rPr>
          <w:vertAlign w:val="subscript"/>
        </w:rPr>
        <w:t>DF</w:t>
      </w:r>
      <w:r>
        <w:rPr>
          <w:i/>
          <w:iCs/>
        </w:rPr>
        <w:t>p</w:t>
      </w:r>
      <w:r>
        <w:rPr>
          <w:vertAlign w:val="subscript"/>
        </w:rPr>
        <w:t>DM</w:t>
      </w:r>
      <w:r>
        <w:rPr>
          <w:i/>
          <w:iCs/>
        </w:rPr>
        <w:t>p</w:t>
      </w:r>
      <w:r>
        <w:rPr>
          <w:vertAlign w:val="subscript"/>
        </w:rPr>
        <w:t>G2</w:t>
      </w:r>
      <w:r>
        <w:t>-</w:t>
      </w:r>
      <w:r w:rsidRPr="00BF7119">
        <w:rPr>
          <w:i/>
          <w:iCs/>
        </w:rPr>
        <w:t xml:space="preserve"> </w:t>
      </w:r>
      <w:r>
        <w:rPr>
          <w:i/>
          <w:iCs/>
        </w:rPr>
        <w:t>p</w:t>
      </w:r>
      <w:r>
        <w:rPr>
          <w:vertAlign w:val="subscript"/>
        </w:rPr>
        <w:t>GF</w:t>
      </w:r>
      <w:r>
        <w:rPr>
          <w:i/>
          <w:iCs/>
        </w:rPr>
        <w:t>p</w:t>
      </w:r>
      <w:r>
        <w:rPr>
          <w:vertAlign w:val="subscript"/>
        </w:rPr>
        <w:t>GT</w:t>
      </w:r>
      <w:r>
        <w:rPr>
          <w:i/>
          <w:iCs/>
        </w:rPr>
        <w:t>p</w:t>
      </w:r>
      <w:r>
        <w:rPr>
          <w:vertAlign w:val="subscript"/>
        </w:rPr>
        <w:t>G1</w:t>
      </w:r>
      <w:r>
        <w:rPr>
          <w:i/>
          <w:iCs/>
        </w:rPr>
        <w:t>p</w:t>
      </w:r>
      <w:r>
        <w:rPr>
          <w:vertAlign w:val="subscript"/>
        </w:rPr>
        <w:t>DF</w:t>
      </w:r>
      <w:r>
        <w:rPr>
          <w:i/>
          <w:iCs/>
        </w:rPr>
        <w:t>p</w:t>
      </w:r>
      <w:r>
        <w:rPr>
          <w:vertAlign w:val="subscript"/>
        </w:rPr>
        <w:t>DM</w:t>
      </w:r>
      <w:r>
        <w:rPr>
          <w:i/>
          <w:iCs/>
        </w:rPr>
        <w:t>p</w:t>
      </w:r>
      <w:r>
        <w:rPr>
          <w:vertAlign w:val="subscript"/>
        </w:rPr>
        <w:t>G2</w:t>
      </w:r>
      <w:r>
        <w:t xml:space="preserve"> =</w:t>
      </w:r>
    </w:p>
    <w:p w14:paraId="3E06177A" w14:textId="77777777" w:rsidR="00837C76" w:rsidRDefault="00837C76" w:rsidP="00837C76">
      <w:pPr>
        <w:ind w:left="709"/>
        <w:rPr>
          <w:rFonts w:ascii="Calibri" w:hAnsi="Calibri" w:cs="Calibri"/>
          <w:b/>
          <w:bCs/>
          <w:color w:val="000000"/>
          <w:sz w:val="22"/>
          <w:szCs w:val="22"/>
          <w:u w:val="double"/>
        </w:rPr>
      </w:pPr>
      <w: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0,997114 + 0,895509 -0,997114 </w:t>
      </w:r>
      <w:r>
        <w:rPr>
          <w:rFonts w:ascii="Calibri" w:hAnsi="Calibri" w:cs="Calibri"/>
          <w:color w:val="000000"/>
          <w:sz w:val="22"/>
          <w:szCs w:val="22"/>
        </w:rPr>
        <w:sym w:font="Symbol" w:char="F0D7"/>
      </w:r>
      <w:r>
        <w:rPr>
          <w:rFonts w:ascii="Calibri" w:hAnsi="Calibri" w:cs="Calibri"/>
          <w:color w:val="000000"/>
          <w:sz w:val="22"/>
          <w:szCs w:val="22"/>
        </w:rPr>
        <w:t xml:space="preserve"> 0,895509 = </w:t>
      </w:r>
      <w:r w:rsidRPr="001C6298">
        <w:rPr>
          <w:rFonts w:ascii="Calibri" w:hAnsi="Calibri" w:cs="Calibri"/>
          <w:b/>
          <w:bCs/>
          <w:color w:val="000000"/>
          <w:sz w:val="22"/>
          <w:szCs w:val="22"/>
          <w:u w:val="double"/>
        </w:rPr>
        <w:t>0,999698</w:t>
      </w:r>
      <w:r w:rsidRPr="00CA1443"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  <w:r w:rsidRPr="00CA1443">
        <w:rPr>
          <w:rFonts w:ascii="Calibri" w:hAnsi="Calibri" w:cs="Calibri"/>
          <w:b/>
          <w:bCs/>
          <w:color w:val="000000"/>
          <w:sz w:val="22"/>
          <w:szCs w:val="22"/>
        </w:rPr>
        <w:sym w:font="Symbol" w:char="F0BB"/>
      </w:r>
      <w:r w:rsidRPr="00CA1443">
        <w:rPr>
          <w:rFonts w:ascii="Calibri" w:hAnsi="Calibri" w:cs="Calibri"/>
          <w:b/>
          <w:bCs/>
          <w:color w:val="000000"/>
          <w:sz w:val="22"/>
          <w:szCs w:val="22"/>
        </w:rPr>
        <w:t xml:space="preserve">  </w:t>
      </w:r>
      <w:r w:rsidRPr="001C6298">
        <w:rPr>
          <w:rFonts w:ascii="Calibri" w:hAnsi="Calibri" w:cs="Calibri"/>
          <w:b/>
          <w:bCs/>
          <w:color w:val="000000"/>
          <w:sz w:val="22"/>
          <w:szCs w:val="22"/>
          <w:u w:val="double"/>
        </w:rPr>
        <w:t>0,999</w:t>
      </w:r>
      <w:r>
        <w:rPr>
          <w:rFonts w:ascii="Calibri" w:hAnsi="Calibri" w:cs="Calibri"/>
          <w:b/>
          <w:bCs/>
          <w:color w:val="000000"/>
          <w:sz w:val="22"/>
          <w:szCs w:val="22"/>
          <w:u w:val="double"/>
        </w:rPr>
        <w:t xml:space="preserve">7. </w:t>
      </w:r>
    </w:p>
    <w:p w14:paraId="0ABF84F5" w14:textId="77777777" w:rsidR="00837C76" w:rsidRDefault="00837C76" w:rsidP="00837C76">
      <w:pPr>
        <w:rPr>
          <w:rFonts w:ascii="Calibri" w:hAnsi="Calibri" w:cs="Calibri"/>
          <w:b/>
          <w:bCs/>
          <w:color w:val="000000"/>
          <w:sz w:val="22"/>
          <w:szCs w:val="22"/>
          <w:u w:val="double"/>
        </w:rPr>
      </w:pPr>
    </w:p>
    <w:p w14:paraId="705C521D" w14:textId="77777777" w:rsidR="00837C76" w:rsidRDefault="00837C76" w:rsidP="00837C76">
      <w:r w:rsidRPr="007C6E23">
        <w:t>U</w:t>
      </w:r>
      <w:r>
        <w:t>påliteligheten er gitt ved 1 - </w:t>
      </w:r>
      <w:proofErr w:type="spellStart"/>
      <w:r>
        <w:rPr>
          <w:b/>
          <w:bCs/>
          <w:i/>
          <w:iCs/>
        </w:rPr>
        <w:t>p</w:t>
      </w:r>
      <w:r>
        <w:rPr>
          <w:i/>
          <w:iCs/>
          <w:vertAlign w:val="subscript"/>
        </w:rPr>
        <w:t>S</w:t>
      </w:r>
      <w:proofErr w:type="spellEnd"/>
      <w:r>
        <w:t xml:space="preserve">, og forventet antall </w:t>
      </w:r>
      <w:proofErr w:type="spellStart"/>
      <w:r>
        <w:t>nedetimer</w:t>
      </w:r>
      <w:proofErr w:type="spellEnd"/>
      <w:r>
        <w:t xml:space="preserve"> per år blir da: </w:t>
      </w:r>
    </w:p>
    <w:p w14:paraId="20C71BB2" w14:textId="77777777" w:rsidR="00837C76" w:rsidRDefault="00837C76" w:rsidP="00837C76">
      <w:pPr>
        <w:ind w:left="709"/>
        <w:rPr>
          <w:rFonts w:ascii="Calibri" w:hAnsi="Calibri" w:cs="Calibri"/>
          <w:color w:val="000000"/>
          <w:sz w:val="22"/>
          <w:szCs w:val="22"/>
        </w:rPr>
      </w:pPr>
      <w:r>
        <w:t>(1 - </w:t>
      </w:r>
      <w:proofErr w:type="spellStart"/>
      <w:r>
        <w:rPr>
          <w:b/>
          <w:bCs/>
          <w:i/>
          <w:iCs/>
        </w:rPr>
        <w:t>p</w:t>
      </w:r>
      <w:r>
        <w:rPr>
          <w:i/>
          <w:iCs/>
          <w:vertAlign w:val="subscript"/>
        </w:rPr>
        <w:t>S</w:t>
      </w:r>
      <w:proofErr w:type="spellEnd"/>
      <w:r>
        <w:t>)</w:t>
      </w:r>
      <w:r w:rsidRPr="003A0C3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sym w:font="Symbol" w:char="F0D7"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A0C30">
        <w:t>8760</w:t>
      </w:r>
      <w:r>
        <w:t xml:space="preserve"> </w:t>
      </w:r>
      <w:r w:rsidRPr="00C84DA9">
        <w:t>= 0,0003</w:t>
      </w:r>
      <w:r w:rsidRPr="00C84DA9">
        <w:sym w:font="Symbol" w:char="F0D7"/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A0C30">
        <w:t>8760</w:t>
      </w:r>
      <w:r>
        <w:t xml:space="preserve"> </w:t>
      </w:r>
      <w:r w:rsidRPr="00CA1443">
        <w:rPr>
          <w:rFonts w:ascii="Calibri" w:hAnsi="Calibri" w:cs="Calibri"/>
          <w:b/>
          <w:bCs/>
          <w:color w:val="000000"/>
          <w:sz w:val="22"/>
          <w:szCs w:val="22"/>
        </w:rPr>
        <w:sym w:font="Symbol" w:char="F0BB"/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C84DA9">
        <w:rPr>
          <w:rFonts w:ascii="Calibri" w:hAnsi="Calibri" w:cs="Calibri"/>
          <w:b/>
          <w:bCs/>
          <w:color w:val="000000"/>
          <w:sz w:val="22"/>
          <w:szCs w:val="22"/>
          <w:u w:val="double"/>
        </w:rPr>
        <w:t>2,6 timer</w:t>
      </w:r>
      <w:r w:rsidRPr="009B2DB9">
        <w:t xml:space="preserve"> per år</w:t>
      </w:r>
      <w:r w:rsidRPr="00C84DA9">
        <w:t>.</w:t>
      </w:r>
    </w:p>
    <w:p w14:paraId="1ED94F38" w14:textId="77777777" w:rsidR="00E26C2E" w:rsidRDefault="00E26C2E"/>
    <w:sectPr w:rsidR="00E26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A5208"/>
    <w:multiLevelType w:val="hybridMultilevel"/>
    <w:tmpl w:val="6DA84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5EB"/>
    <w:multiLevelType w:val="hybridMultilevel"/>
    <w:tmpl w:val="74E043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9197D"/>
    <w:multiLevelType w:val="hybridMultilevel"/>
    <w:tmpl w:val="3C32D2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40070"/>
    <w:multiLevelType w:val="hybridMultilevel"/>
    <w:tmpl w:val="EFDEDCC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3458"/>
    <w:multiLevelType w:val="hybridMultilevel"/>
    <w:tmpl w:val="74E0434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B5DA4"/>
    <w:multiLevelType w:val="hybridMultilevel"/>
    <w:tmpl w:val="52808858"/>
    <w:lvl w:ilvl="0" w:tplc="423455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7CC3273A"/>
    <w:multiLevelType w:val="hybridMultilevel"/>
    <w:tmpl w:val="1F8EFA60"/>
    <w:lvl w:ilvl="0" w:tplc="BAF855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172658">
    <w:abstractNumId w:val="5"/>
  </w:num>
  <w:num w:numId="2" w16cid:durableId="1241251984">
    <w:abstractNumId w:val="6"/>
  </w:num>
  <w:num w:numId="3" w16cid:durableId="405110369">
    <w:abstractNumId w:val="0"/>
  </w:num>
  <w:num w:numId="4" w16cid:durableId="1222131478">
    <w:abstractNumId w:val="3"/>
  </w:num>
  <w:num w:numId="5" w16cid:durableId="1617255374">
    <w:abstractNumId w:val="4"/>
  </w:num>
  <w:num w:numId="6" w16cid:durableId="1063794183">
    <w:abstractNumId w:val="1"/>
  </w:num>
  <w:num w:numId="7" w16cid:durableId="1249921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76"/>
    <w:rsid w:val="0010105D"/>
    <w:rsid w:val="001D43C3"/>
    <w:rsid w:val="003848B2"/>
    <w:rsid w:val="00392CAB"/>
    <w:rsid w:val="00671AE3"/>
    <w:rsid w:val="007C3108"/>
    <w:rsid w:val="007D5987"/>
    <w:rsid w:val="00837C76"/>
    <w:rsid w:val="00841861"/>
    <w:rsid w:val="008603CC"/>
    <w:rsid w:val="009A0D6C"/>
    <w:rsid w:val="00D0029F"/>
    <w:rsid w:val="00E26C2E"/>
    <w:rsid w:val="00F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78DA"/>
  <w15:chartTrackingRefBased/>
  <w15:docId w15:val="{8C61D2AE-D56F-4BAE-8D86-3C31FAF5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7C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C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C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C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C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7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C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37C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837C76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Vatn</dc:creator>
  <cp:keywords/>
  <dc:description/>
  <cp:lastModifiedBy>Jørn Vatn</cp:lastModifiedBy>
  <cp:revision>1</cp:revision>
  <dcterms:created xsi:type="dcterms:W3CDTF">2025-09-24T21:11:00Z</dcterms:created>
  <dcterms:modified xsi:type="dcterms:W3CDTF">2025-09-24T21:15:00Z</dcterms:modified>
</cp:coreProperties>
</file>