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18CF" w14:textId="0A5201A7" w:rsidR="007361C8" w:rsidRPr="00282B3C" w:rsidRDefault="009D19BD" w:rsidP="009D19BD">
      <w:pPr>
        <w:pStyle w:val="Heading1"/>
        <w:rPr>
          <w:lang w:val="en-GB"/>
        </w:rPr>
      </w:pPr>
      <w:r w:rsidRPr="00282B3C">
        <w:rPr>
          <w:lang w:val="en-GB"/>
        </w:rPr>
        <w:t>PK8200 – Risk influence modelling</w:t>
      </w:r>
    </w:p>
    <w:p w14:paraId="071611AE" w14:textId="2EE24851" w:rsidR="009D19BD" w:rsidRPr="00282B3C" w:rsidRDefault="009D19BD" w:rsidP="009D19BD">
      <w:pPr>
        <w:pStyle w:val="Heading2"/>
        <w:rPr>
          <w:lang w:val="en-GB"/>
        </w:rPr>
      </w:pPr>
      <w:r w:rsidRPr="00282B3C">
        <w:rPr>
          <w:lang w:val="en-GB"/>
        </w:rPr>
        <w:t>Warm up problem</w:t>
      </w:r>
    </w:p>
    <w:p w14:paraId="39FD1B56" w14:textId="6A4BE0BB" w:rsidR="009D19BD" w:rsidRPr="00282B3C" w:rsidRDefault="009D19BD" w:rsidP="009D19BD">
      <w:pPr>
        <w:rPr>
          <w:lang w:val="en-GB"/>
        </w:rPr>
      </w:pPr>
    </w:p>
    <w:p w14:paraId="255DD19A" w14:textId="77777777" w:rsidR="009D19BD" w:rsidRDefault="009D19BD" w:rsidP="009D19BD">
      <w:pPr>
        <w:rPr>
          <w:b/>
          <w:lang w:val="en-GB"/>
        </w:rPr>
      </w:pPr>
      <w:r>
        <w:rPr>
          <w:b/>
          <w:noProof/>
        </w:rPr>
        <w:drawing>
          <wp:inline distT="0" distB="0" distL="0" distR="0" wp14:anchorId="69DA134A" wp14:editId="6E22E8E1">
            <wp:extent cx="5153025" cy="446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4467225"/>
                    </a:xfrm>
                    <a:prstGeom prst="rect">
                      <a:avLst/>
                    </a:prstGeom>
                    <a:noFill/>
                    <a:ln>
                      <a:noFill/>
                    </a:ln>
                  </pic:spPr>
                </pic:pic>
              </a:graphicData>
            </a:graphic>
          </wp:inline>
        </w:drawing>
      </w:r>
    </w:p>
    <w:p w14:paraId="1B3EC8CE" w14:textId="77777777" w:rsidR="009D19BD" w:rsidRPr="00F623CA" w:rsidRDefault="009D19BD" w:rsidP="009D19BD">
      <w:pPr>
        <w:pStyle w:val="Caption"/>
        <w:rPr>
          <w:lang w:val="en-GB"/>
        </w:rPr>
      </w:pPr>
      <w:bookmarkStart w:id="0" w:name="_Ref152603076"/>
      <w:r w:rsidRPr="00F623CA">
        <w:rPr>
          <w:lang w:val="en-GB"/>
        </w:rPr>
        <w:t xml:space="preserve">Figure </w:t>
      </w:r>
      <w:r>
        <w:fldChar w:fldCharType="begin"/>
      </w:r>
      <w:r w:rsidRPr="00F623CA">
        <w:rPr>
          <w:lang w:val="en-GB"/>
        </w:rPr>
        <w:instrText xml:space="preserve"> SEQ Figure \* ARABIC </w:instrText>
      </w:r>
      <w:r>
        <w:fldChar w:fldCharType="separate"/>
      </w:r>
      <w:r>
        <w:rPr>
          <w:noProof/>
          <w:lang w:val="en-GB"/>
        </w:rPr>
        <w:t>1</w:t>
      </w:r>
      <w:r>
        <w:fldChar w:fldCharType="end"/>
      </w:r>
      <w:bookmarkEnd w:id="0"/>
      <w:r w:rsidRPr="00F623CA">
        <w:rPr>
          <w:lang w:val="en-GB"/>
        </w:rPr>
        <w:t xml:space="preserve"> Separator</w:t>
      </w:r>
    </w:p>
    <w:p w14:paraId="52AA41BB" w14:textId="77777777" w:rsidR="009D19BD" w:rsidRPr="00F623CA" w:rsidRDefault="009D19BD" w:rsidP="009D19BD">
      <w:pPr>
        <w:rPr>
          <w:lang w:val="en-GB"/>
        </w:rPr>
      </w:pPr>
    </w:p>
    <w:p w14:paraId="68A873EE" w14:textId="45EAC875" w:rsidR="009D19BD" w:rsidRDefault="009D19BD" w:rsidP="009D19BD">
      <w:pPr>
        <w:rPr>
          <w:lang w:val="en-GB"/>
        </w:rPr>
      </w:pPr>
      <w:r w:rsidRPr="00A17F3E">
        <w:rPr>
          <w:lang w:val="en-GB"/>
        </w:rPr>
        <w:t xml:space="preserve">Consider the separator in </w:t>
      </w:r>
      <w:r>
        <w:fldChar w:fldCharType="begin"/>
      </w:r>
      <w:r w:rsidRPr="00A17F3E">
        <w:rPr>
          <w:lang w:val="en-GB"/>
        </w:rPr>
        <w:instrText xml:space="preserve"> REF _Ref152603076 \h </w:instrText>
      </w:r>
      <w:r>
        <w:fldChar w:fldCharType="separate"/>
      </w:r>
      <w:r w:rsidRPr="00F623CA">
        <w:rPr>
          <w:lang w:val="en-GB"/>
        </w:rPr>
        <w:t xml:space="preserve">Figure </w:t>
      </w:r>
      <w:r>
        <w:rPr>
          <w:noProof/>
          <w:lang w:val="en-GB"/>
        </w:rPr>
        <w:t>1</w:t>
      </w:r>
      <w:r>
        <w:fldChar w:fldCharType="end"/>
      </w:r>
      <w:r w:rsidRPr="00A17F3E">
        <w:rPr>
          <w:lang w:val="en-GB"/>
        </w:rPr>
        <w:t xml:space="preserve">. </w:t>
      </w:r>
      <w:r>
        <w:rPr>
          <w:lang w:val="en-GB"/>
        </w:rPr>
        <w:t xml:space="preserve">To control the pressure in the separator two pressure switches (PSW1 and PSW2) are installed in </w:t>
      </w:r>
      <w:proofErr w:type="gramStart"/>
      <w:r>
        <w:rPr>
          <w:lang w:val="en-GB"/>
        </w:rPr>
        <w:t>parallel, and</w:t>
      </w:r>
      <w:proofErr w:type="gramEnd"/>
      <w:r>
        <w:rPr>
          <w:lang w:val="en-GB"/>
        </w:rPr>
        <w:t xml:space="preserve"> voted by a logic unit (LU). The logic unit gives signal to pilot valves activating the two process shutdown valves (PSD1 and PSD2) also in parallel from a safety point of view. (The pilot valves could be seen as a part of the PSD-valves in this problem). If the PSD system fails to shut down the inlet to the separator upon e.g.</w:t>
      </w:r>
      <w:r w:rsidR="00BC55F2">
        <w:rPr>
          <w:lang w:val="en-GB"/>
        </w:rPr>
        <w:t>,</w:t>
      </w:r>
      <w:r>
        <w:rPr>
          <w:lang w:val="en-GB"/>
        </w:rPr>
        <w:t xml:space="preserve"> a blockage of the gas outlet, the pressure relief valves (PSV1 and PSV2) will be opened at a pressure set-point somewhat above the set-point for the PSD system. (A pressure relief valve has no external </w:t>
      </w:r>
      <w:proofErr w:type="gramStart"/>
      <w:r>
        <w:rPr>
          <w:lang w:val="en-GB"/>
        </w:rPr>
        <w:t>actuator,</w:t>
      </w:r>
      <w:proofErr w:type="gramEnd"/>
      <w:r>
        <w:rPr>
          <w:lang w:val="en-GB"/>
        </w:rPr>
        <w:t xml:space="preserve"> it will be opened by the pressure in the vessel directly. If one of the PSVs is opened, the gas is sent to flare.) The two PSVs are also redundant from a safety point of view. </w:t>
      </w:r>
      <w:proofErr w:type="gramStart"/>
      <w:r>
        <w:rPr>
          <w:lang w:val="en-GB"/>
        </w:rPr>
        <w:t>Finally</w:t>
      </w:r>
      <w:proofErr w:type="gramEnd"/>
      <w:r>
        <w:rPr>
          <w:lang w:val="en-GB"/>
        </w:rPr>
        <w:t xml:space="preserve"> if both the PSVs also fail to open, the rupture disk (RD) will open at an even higher pressure level (last barrier before rupture of the entire vessel). The possible end consequences upon the initiating event “Gas outlet blocked” are shown in </w:t>
      </w:r>
      <w:r>
        <w:rPr>
          <w:lang w:val="en-GB"/>
        </w:rPr>
        <w:fldChar w:fldCharType="begin"/>
      </w:r>
      <w:r>
        <w:rPr>
          <w:lang w:val="en-GB"/>
        </w:rPr>
        <w:instrText xml:space="preserve"> REF _Ref121025771 \h </w:instrText>
      </w:r>
      <w:r>
        <w:rPr>
          <w:lang w:val="en-GB"/>
        </w:rPr>
      </w:r>
      <w:r>
        <w:rPr>
          <w:lang w:val="en-GB"/>
        </w:rPr>
        <w:fldChar w:fldCharType="separate"/>
      </w:r>
      <w:r w:rsidRPr="003652A0">
        <w:rPr>
          <w:lang w:val="en-GB"/>
        </w:rPr>
        <w:t xml:space="preserve">Table </w:t>
      </w:r>
      <w:r>
        <w:rPr>
          <w:noProof/>
          <w:lang w:val="en-GB"/>
        </w:rPr>
        <w:t>1</w:t>
      </w:r>
      <w:r>
        <w:rPr>
          <w:lang w:val="en-GB"/>
        </w:rPr>
        <w:fldChar w:fldCharType="end"/>
      </w:r>
      <w:r>
        <w:rPr>
          <w:lang w:val="en-GB"/>
        </w:rPr>
        <w:t>:</w:t>
      </w:r>
    </w:p>
    <w:p w14:paraId="217458DD" w14:textId="77777777" w:rsidR="009D19BD" w:rsidRPr="00505457" w:rsidRDefault="009D19BD" w:rsidP="009D19BD">
      <w:pPr>
        <w:rPr>
          <w:b/>
          <w:lang w:val="en-GB"/>
        </w:rPr>
      </w:pPr>
    </w:p>
    <w:p w14:paraId="0781E33E" w14:textId="77777777" w:rsidR="009D19BD" w:rsidRPr="003652A0" w:rsidRDefault="009D19BD" w:rsidP="009D19BD">
      <w:pPr>
        <w:pStyle w:val="Caption"/>
        <w:keepNext/>
        <w:rPr>
          <w:sz w:val="24"/>
          <w:szCs w:val="24"/>
          <w:lang w:val="en-GB"/>
        </w:rPr>
      </w:pPr>
      <w:bookmarkStart w:id="1" w:name="_Ref121025771"/>
      <w:r w:rsidRPr="003652A0">
        <w:rPr>
          <w:sz w:val="24"/>
          <w:szCs w:val="24"/>
          <w:lang w:val="en-GB"/>
        </w:rPr>
        <w:lastRenderedPageBreak/>
        <w:t xml:space="preserve">Table </w:t>
      </w:r>
      <w:r w:rsidRPr="003652A0">
        <w:rPr>
          <w:sz w:val="24"/>
          <w:szCs w:val="24"/>
          <w:lang w:val="en-GB"/>
        </w:rPr>
        <w:fldChar w:fldCharType="begin"/>
      </w:r>
      <w:r w:rsidRPr="003652A0">
        <w:rPr>
          <w:sz w:val="24"/>
          <w:szCs w:val="24"/>
          <w:lang w:val="en-GB"/>
        </w:rPr>
        <w:instrText xml:space="preserve"> SEQ Table \* ARABIC </w:instrText>
      </w:r>
      <w:r w:rsidRPr="003652A0">
        <w:rPr>
          <w:sz w:val="24"/>
          <w:szCs w:val="24"/>
          <w:lang w:val="en-GB"/>
        </w:rPr>
        <w:fldChar w:fldCharType="separate"/>
      </w:r>
      <w:r>
        <w:rPr>
          <w:noProof/>
          <w:sz w:val="24"/>
          <w:szCs w:val="24"/>
          <w:lang w:val="en-GB"/>
        </w:rPr>
        <w:t>1</w:t>
      </w:r>
      <w:r w:rsidRPr="003652A0">
        <w:rPr>
          <w:sz w:val="24"/>
          <w:szCs w:val="24"/>
          <w:lang w:val="en-GB"/>
        </w:rPr>
        <w:fldChar w:fldCharType="end"/>
      </w:r>
      <w:bookmarkEnd w:id="1"/>
      <w:r w:rsidRPr="003652A0">
        <w:rPr>
          <w:sz w:val="24"/>
          <w:szCs w:val="24"/>
          <w:lang w:val="en-GB"/>
        </w:rPr>
        <w:t xml:space="preserve"> End consequences (all amounts in NOK)</w:t>
      </w:r>
    </w:p>
    <w:tbl>
      <w:tblPr>
        <w:tblStyle w:val="TableGrid"/>
        <w:tblW w:w="0" w:type="auto"/>
        <w:tblLook w:val="01E0" w:firstRow="1" w:lastRow="1" w:firstColumn="1" w:lastColumn="1" w:noHBand="0" w:noVBand="0"/>
      </w:tblPr>
      <w:tblGrid>
        <w:gridCol w:w="4498"/>
        <w:gridCol w:w="1241"/>
        <w:gridCol w:w="3277"/>
      </w:tblGrid>
      <w:tr w:rsidR="009D19BD" w:rsidRPr="00B71BF4" w14:paraId="28F5855B" w14:textId="77777777" w:rsidTr="0046571A">
        <w:tc>
          <w:tcPr>
            <w:tcW w:w="4608" w:type="dxa"/>
            <w:shd w:val="clear" w:color="auto" w:fill="CCCCCC"/>
          </w:tcPr>
          <w:p w14:paraId="1CF7638B" w14:textId="77777777" w:rsidR="009D19BD" w:rsidRPr="003652A0" w:rsidRDefault="009D19BD" w:rsidP="0046571A">
            <w:pPr>
              <w:keepNext/>
              <w:rPr>
                <w:rFonts w:ascii="Arial" w:hAnsi="Arial" w:cs="Arial"/>
                <w:sz w:val="22"/>
                <w:szCs w:val="22"/>
                <w:lang w:val="en-GB"/>
              </w:rPr>
            </w:pPr>
            <w:r w:rsidRPr="003652A0">
              <w:rPr>
                <w:rFonts w:ascii="Arial" w:hAnsi="Arial" w:cs="Arial"/>
                <w:sz w:val="22"/>
                <w:szCs w:val="22"/>
                <w:lang w:val="en-GB"/>
              </w:rPr>
              <w:t>End consequence</w:t>
            </w:r>
          </w:p>
        </w:tc>
        <w:tc>
          <w:tcPr>
            <w:tcW w:w="1260" w:type="dxa"/>
            <w:shd w:val="clear" w:color="auto" w:fill="CCCCCC"/>
          </w:tcPr>
          <w:p w14:paraId="59B290CE" w14:textId="77777777" w:rsidR="009D19BD" w:rsidRPr="003652A0" w:rsidRDefault="009D19BD" w:rsidP="0046571A">
            <w:pPr>
              <w:keepNext/>
              <w:rPr>
                <w:rFonts w:ascii="Arial" w:hAnsi="Arial" w:cs="Arial"/>
                <w:sz w:val="22"/>
                <w:szCs w:val="22"/>
                <w:lang w:val="en-GB"/>
              </w:rPr>
            </w:pPr>
            <w:r w:rsidRPr="003652A0">
              <w:rPr>
                <w:rFonts w:ascii="Arial" w:hAnsi="Arial" w:cs="Arial"/>
                <w:sz w:val="22"/>
                <w:szCs w:val="22"/>
                <w:lang w:val="en-GB"/>
              </w:rPr>
              <w:t>PLL</w:t>
            </w:r>
          </w:p>
        </w:tc>
        <w:tc>
          <w:tcPr>
            <w:tcW w:w="3344" w:type="dxa"/>
            <w:shd w:val="clear" w:color="auto" w:fill="CCCCCC"/>
          </w:tcPr>
          <w:p w14:paraId="326A095A" w14:textId="77777777" w:rsidR="009D19BD" w:rsidRPr="003652A0" w:rsidRDefault="009D19BD" w:rsidP="0046571A">
            <w:pPr>
              <w:keepNext/>
              <w:rPr>
                <w:rFonts w:ascii="Arial" w:hAnsi="Arial" w:cs="Arial"/>
                <w:sz w:val="22"/>
                <w:szCs w:val="22"/>
                <w:lang w:val="en-GB"/>
              </w:rPr>
            </w:pPr>
            <w:r w:rsidRPr="003652A0">
              <w:rPr>
                <w:rFonts w:ascii="Arial" w:hAnsi="Arial" w:cs="Arial"/>
                <w:sz w:val="22"/>
                <w:szCs w:val="22"/>
                <w:lang w:val="en-GB"/>
              </w:rPr>
              <w:t xml:space="preserve">EC = Expected cost (mat </w:t>
            </w:r>
            <w:proofErr w:type="gramStart"/>
            <w:r w:rsidRPr="003652A0">
              <w:rPr>
                <w:rFonts w:ascii="Arial" w:hAnsi="Arial" w:cs="Arial"/>
                <w:sz w:val="22"/>
                <w:szCs w:val="22"/>
                <w:lang w:val="en-GB"/>
              </w:rPr>
              <w:t xml:space="preserve">dam </w:t>
            </w:r>
            <w:r>
              <w:rPr>
                <w:rFonts w:ascii="Arial" w:hAnsi="Arial" w:cs="Arial"/>
                <w:sz w:val="22"/>
                <w:szCs w:val="22"/>
                <w:lang w:val="en-GB"/>
              </w:rPr>
              <w:t>,</w:t>
            </w:r>
            <w:proofErr w:type="gramEnd"/>
            <w:r w:rsidRPr="003652A0">
              <w:rPr>
                <w:rFonts w:ascii="Arial" w:hAnsi="Arial" w:cs="Arial"/>
                <w:sz w:val="22"/>
                <w:szCs w:val="22"/>
                <w:lang w:val="en-GB"/>
              </w:rPr>
              <w:t xml:space="preserve"> prod</w:t>
            </w:r>
            <w:r>
              <w:rPr>
                <w:rFonts w:ascii="Arial" w:hAnsi="Arial" w:cs="Arial"/>
                <w:sz w:val="22"/>
                <w:szCs w:val="22"/>
                <w:lang w:val="en-GB"/>
              </w:rPr>
              <w:t>. &amp; environmental</w:t>
            </w:r>
            <w:r w:rsidRPr="003652A0">
              <w:rPr>
                <w:rFonts w:ascii="Arial" w:hAnsi="Arial" w:cs="Arial"/>
                <w:sz w:val="22"/>
                <w:szCs w:val="22"/>
                <w:lang w:val="en-GB"/>
              </w:rPr>
              <w:t xml:space="preserve"> loss)</w:t>
            </w:r>
          </w:p>
        </w:tc>
      </w:tr>
      <w:tr w:rsidR="009D19BD" w:rsidRPr="00B71BF4" w14:paraId="46164332" w14:textId="77777777" w:rsidTr="0046571A">
        <w:tc>
          <w:tcPr>
            <w:tcW w:w="4608" w:type="dxa"/>
          </w:tcPr>
          <w:p w14:paraId="6E09CEB8" w14:textId="77777777" w:rsidR="009D19BD" w:rsidRPr="009E032B" w:rsidRDefault="009D19BD" w:rsidP="0046571A">
            <w:pPr>
              <w:keepNext/>
              <w:tabs>
                <w:tab w:val="left" w:pos="360"/>
              </w:tabs>
              <w:ind w:left="360" w:hanging="360"/>
              <w:rPr>
                <w:rFonts w:ascii="Arial" w:hAnsi="Arial" w:cs="Arial"/>
                <w:sz w:val="22"/>
                <w:szCs w:val="22"/>
                <w:lang w:val="en-GB"/>
              </w:rPr>
            </w:pPr>
            <w:r w:rsidRPr="003652A0">
              <w:rPr>
                <w:rFonts w:ascii="Arial" w:hAnsi="Arial" w:cs="Arial"/>
                <w:sz w:val="22"/>
                <w:szCs w:val="22"/>
                <w:lang w:val="en-GB"/>
              </w:rPr>
              <w:sym w:font="Wingdings" w:char="F081"/>
            </w:r>
            <w:r>
              <w:rPr>
                <w:lang w:val="en-GB"/>
              </w:rPr>
              <w:tab/>
            </w:r>
            <w:r w:rsidRPr="009E032B">
              <w:rPr>
                <w:rFonts w:ascii="Arial" w:hAnsi="Arial" w:cs="Arial"/>
                <w:sz w:val="22"/>
                <w:szCs w:val="22"/>
                <w:lang w:val="en-GB"/>
              </w:rPr>
              <w:t>Controlled</w:t>
            </w:r>
            <w:r>
              <w:rPr>
                <w:rFonts w:ascii="Arial" w:hAnsi="Arial" w:cs="Arial"/>
                <w:sz w:val="22"/>
                <w:szCs w:val="22"/>
                <w:lang w:val="en-GB"/>
              </w:rPr>
              <w:t xml:space="preserve"> </w:t>
            </w:r>
            <w:r w:rsidRPr="009E032B">
              <w:rPr>
                <w:rFonts w:ascii="Arial" w:hAnsi="Arial" w:cs="Arial"/>
                <w:sz w:val="22"/>
                <w:szCs w:val="22"/>
                <w:lang w:val="en-GB"/>
              </w:rPr>
              <w:t>shutdown,</w:t>
            </w:r>
            <w:r>
              <w:rPr>
                <w:rFonts w:ascii="Arial" w:hAnsi="Arial" w:cs="Arial"/>
                <w:sz w:val="22"/>
                <w:szCs w:val="22"/>
                <w:lang w:val="en-GB"/>
              </w:rPr>
              <w:t xml:space="preserve"> </w:t>
            </w:r>
            <w:r w:rsidRPr="009E032B">
              <w:rPr>
                <w:rFonts w:ascii="Arial" w:hAnsi="Arial" w:cs="Arial"/>
                <w:sz w:val="22"/>
                <w:szCs w:val="22"/>
                <w:lang w:val="en-GB"/>
              </w:rPr>
              <w:t xml:space="preserve">no gas </w:t>
            </w:r>
            <w:r>
              <w:rPr>
                <w:rFonts w:ascii="Arial" w:hAnsi="Arial" w:cs="Arial"/>
                <w:sz w:val="22"/>
                <w:szCs w:val="22"/>
                <w:lang w:val="en-GB"/>
              </w:rPr>
              <w:t>“</w:t>
            </w:r>
            <w:r w:rsidRPr="009E032B">
              <w:rPr>
                <w:rFonts w:ascii="Arial" w:hAnsi="Arial" w:cs="Arial"/>
                <w:sz w:val="22"/>
                <w:szCs w:val="22"/>
                <w:lang w:val="en-GB"/>
              </w:rPr>
              <w:t>lost</w:t>
            </w:r>
            <w:r>
              <w:rPr>
                <w:rFonts w:ascii="Arial" w:hAnsi="Arial" w:cs="Arial"/>
                <w:sz w:val="22"/>
                <w:szCs w:val="22"/>
                <w:lang w:val="en-GB"/>
              </w:rPr>
              <w:t>”</w:t>
            </w:r>
          </w:p>
        </w:tc>
        <w:tc>
          <w:tcPr>
            <w:tcW w:w="1260" w:type="dxa"/>
          </w:tcPr>
          <w:p w14:paraId="094C60CF" w14:textId="77777777" w:rsidR="009D19BD" w:rsidRPr="003652A0" w:rsidRDefault="009D19BD" w:rsidP="0046571A">
            <w:pPr>
              <w:keepNext/>
              <w:rPr>
                <w:rFonts w:ascii="Arial" w:hAnsi="Arial" w:cs="Arial"/>
                <w:sz w:val="22"/>
                <w:szCs w:val="22"/>
                <w:lang w:val="en-GB"/>
              </w:rPr>
            </w:pPr>
            <w:r w:rsidRPr="003652A0">
              <w:rPr>
                <w:rFonts w:ascii="Arial" w:hAnsi="Arial" w:cs="Arial"/>
                <w:sz w:val="22"/>
                <w:szCs w:val="22"/>
                <w:lang w:val="en-GB"/>
              </w:rPr>
              <w:t>0</w:t>
            </w:r>
          </w:p>
        </w:tc>
        <w:tc>
          <w:tcPr>
            <w:tcW w:w="3344" w:type="dxa"/>
          </w:tcPr>
          <w:p w14:paraId="522A9155" w14:textId="77777777" w:rsidR="009D19BD" w:rsidRPr="003652A0" w:rsidRDefault="009D19BD" w:rsidP="0046571A">
            <w:pPr>
              <w:keepNext/>
              <w:rPr>
                <w:rFonts w:ascii="Arial" w:hAnsi="Arial" w:cs="Arial"/>
                <w:sz w:val="22"/>
                <w:szCs w:val="22"/>
                <w:lang w:val="en-GB"/>
              </w:rPr>
            </w:pPr>
            <w:r>
              <w:rPr>
                <w:rFonts w:ascii="Arial" w:hAnsi="Arial" w:cs="Arial"/>
                <w:sz w:val="22"/>
                <w:szCs w:val="22"/>
                <w:lang w:val="en-GB"/>
              </w:rPr>
              <w:t>0</w:t>
            </w:r>
          </w:p>
        </w:tc>
      </w:tr>
      <w:tr w:rsidR="009D19BD" w:rsidRPr="00B71BF4" w14:paraId="325ABC56" w14:textId="77777777" w:rsidTr="0046571A">
        <w:tc>
          <w:tcPr>
            <w:tcW w:w="4608" w:type="dxa"/>
          </w:tcPr>
          <w:p w14:paraId="5F1C9C6B" w14:textId="77777777" w:rsidR="009D19BD" w:rsidRPr="009E032B" w:rsidRDefault="009D19BD" w:rsidP="0046571A">
            <w:pPr>
              <w:keepNext/>
              <w:tabs>
                <w:tab w:val="left" w:pos="360"/>
              </w:tabs>
              <w:ind w:left="360" w:hanging="360"/>
              <w:rPr>
                <w:rFonts w:ascii="Arial" w:hAnsi="Arial" w:cs="Arial"/>
                <w:sz w:val="22"/>
                <w:szCs w:val="22"/>
                <w:lang w:val="en-GB"/>
              </w:rPr>
            </w:pPr>
            <w:r w:rsidRPr="003652A0">
              <w:rPr>
                <w:rFonts w:ascii="Arial" w:hAnsi="Arial" w:cs="Arial"/>
                <w:sz w:val="22"/>
                <w:szCs w:val="22"/>
                <w:lang w:val="en-GB"/>
              </w:rPr>
              <w:sym w:font="Wingdings" w:char="F082"/>
            </w:r>
            <w:r>
              <w:rPr>
                <w:lang w:val="en-GB"/>
              </w:rPr>
              <w:tab/>
            </w:r>
            <w:r w:rsidRPr="009E032B">
              <w:rPr>
                <w:rFonts w:ascii="Arial" w:hAnsi="Arial" w:cs="Arial"/>
                <w:sz w:val="22"/>
                <w:szCs w:val="22"/>
                <w:lang w:val="en-GB"/>
              </w:rPr>
              <w:t>Gas relieved</w:t>
            </w:r>
            <w:r>
              <w:rPr>
                <w:rFonts w:ascii="Arial" w:hAnsi="Arial" w:cs="Arial"/>
                <w:sz w:val="22"/>
                <w:szCs w:val="22"/>
                <w:lang w:val="en-GB"/>
              </w:rPr>
              <w:t xml:space="preserve"> </w:t>
            </w:r>
            <w:r w:rsidRPr="009E032B">
              <w:rPr>
                <w:rFonts w:ascii="Arial" w:hAnsi="Arial" w:cs="Arial"/>
                <w:sz w:val="22"/>
                <w:szCs w:val="22"/>
                <w:lang w:val="en-GB"/>
              </w:rPr>
              <w:t>to flare</w:t>
            </w:r>
          </w:p>
        </w:tc>
        <w:tc>
          <w:tcPr>
            <w:tcW w:w="1260" w:type="dxa"/>
          </w:tcPr>
          <w:p w14:paraId="67A9AB1B" w14:textId="77777777" w:rsidR="009D19BD" w:rsidRPr="003652A0" w:rsidRDefault="009D19BD" w:rsidP="0046571A">
            <w:pPr>
              <w:keepNext/>
              <w:rPr>
                <w:rFonts w:ascii="Arial" w:hAnsi="Arial" w:cs="Arial"/>
                <w:sz w:val="22"/>
                <w:szCs w:val="22"/>
                <w:lang w:val="en-GB"/>
              </w:rPr>
            </w:pPr>
            <w:r w:rsidRPr="003652A0">
              <w:rPr>
                <w:rFonts w:ascii="Arial" w:hAnsi="Arial" w:cs="Arial"/>
                <w:sz w:val="22"/>
                <w:szCs w:val="22"/>
                <w:lang w:val="en-GB"/>
              </w:rPr>
              <w:t>0</w:t>
            </w:r>
            <w:r>
              <w:rPr>
                <w:rFonts w:ascii="Arial" w:hAnsi="Arial" w:cs="Arial"/>
                <w:sz w:val="22"/>
                <w:szCs w:val="22"/>
                <w:lang w:val="en-GB"/>
              </w:rPr>
              <w:t>.001</w:t>
            </w:r>
          </w:p>
        </w:tc>
        <w:tc>
          <w:tcPr>
            <w:tcW w:w="3344" w:type="dxa"/>
          </w:tcPr>
          <w:p w14:paraId="73161CC6" w14:textId="77777777" w:rsidR="009D19BD" w:rsidRPr="003652A0" w:rsidRDefault="009D19BD" w:rsidP="0046571A">
            <w:pPr>
              <w:keepNext/>
              <w:rPr>
                <w:rFonts w:ascii="Arial" w:hAnsi="Arial" w:cs="Arial"/>
                <w:sz w:val="22"/>
                <w:szCs w:val="22"/>
                <w:lang w:val="en-GB"/>
              </w:rPr>
            </w:pPr>
            <w:r>
              <w:rPr>
                <w:rFonts w:ascii="Arial" w:hAnsi="Arial" w:cs="Arial"/>
                <w:sz w:val="22"/>
                <w:szCs w:val="22"/>
                <w:lang w:val="en-GB"/>
              </w:rPr>
              <w:t>1 0</w:t>
            </w:r>
            <w:r w:rsidRPr="003652A0">
              <w:rPr>
                <w:rFonts w:ascii="Arial" w:hAnsi="Arial" w:cs="Arial"/>
                <w:sz w:val="22"/>
                <w:szCs w:val="22"/>
                <w:lang w:val="en-GB"/>
              </w:rPr>
              <w:t>00 000</w:t>
            </w:r>
          </w:p>
        </w:tc>
      </w:tr>
      <w:tr w:rsidR="009D19BD" w:rsidRPr="00B71BF4" w14:paraId="739C528E" w14:textId="77777777" w:rsidTr="0046571A">
        <w:tc>
          <w:tcPr>
            <w:tcW w:w="4608" w:type="dxa"/>
          </w:tcPr>
          <w:p w14:paraId="5DF7F200" w14:textId="77777777" w:rsidR="009D19BD" w:rsidRPr="009E032B" w:rsidRDefault="009D19BD" w:rsidP="0046571A">
            <w:pPr>
              <w:keepNext/>
              <w:tabs>
                <w:tab w:val="left" w:pos="360"/>
              </w:tabs>
              <w:ind w:left="360" w:hanging="360"/>
              <w:rPr>
                <w:rFonts w:ascii="Arial" w:hAnsi="Arial" w:cs="Arial"/>
                <w:sz w:val="22"/>
                <w:szCs w:val="22"/>
                <w:lang w:val="en-GB"/>
              </w:rPr>
            </w:pPr>
            <w:r w:rsidRPr="003652A0">
              <w:rPr>
                <w:rFonts w:ascii="Arial" w:hAnsi="Arial" w:cs="Arial"/>
                <w:sz w:val="22"/>
                <w:szCs w:val="22"/>
                <w:lang w:val="en-GB"/>
              </w:rPr>
              <w:sym w:font="Wingdings" w:char="F083"/>
            </w:r>
            <w:r>
              <w:rPr>
                <w:lang w:val="en-GB"/>
              </w:rPr>
              <w:tab/>
            </w:r>
            <w:r w:rsidRPr="009E032B">
              <w:rPr>
                <w:rFonts w:ascii="Arial" w:hAnsi="Arial" w:cs="Arial"/>
                <w:sz w:val="22"/>
                <w:szCs w:val="22"/>
                <w:lang w:val="en-GB"/>
              </w:rPr>
              <w:t>Gas flowing out</w:t>
            </w:r>
            <w:r>
              <w:rPr>
                <w:rFonts w:ascii="Arial" w:hAnsi="Arial" w:cs="Arial"/>
                <w:sz w:val="22"/>
                <w:szCs w:val="22"/>
                <w:lang w:val="en-GB"/>
              </w:rPr>
              <w:t xml:space="preserve"> </w:t>
            </w:r>
            <w:r w:rsidRPr="009E032B">
              <w:rPr>
                <w:rFonts w:ascii="Arial" w:hAnsi="Arial" w:cs="Arial"/>
                <w:sz w:val="22"/>
                <w:szCs w:val="22"/>
                <w:lang w:val="en-GB"/>
              </w:rPr>
              <w:t>of rupture disc</w:t>
            </w:r>
          </w:p>
        </w:tc>
        <w:tc>
          <w:tcPr>
            <w:tcW w:w="1260" w:type="dxa"/>
          </w:tcPr>
          <w:p w14:paraId="0C0BE423" w14:textId="77777777" w:rsidR="009D19BD" w:rsidRPr="003652A0" w:rsidRDefault="009D19BD" w:rsidP="0046571A">
            <w:pPr>
              <w:keepNext/>
              <w:rPr>
                <w:rFonts w:ascii="Arial" w:hAnsi="Arial" w:cs="Arial"/>
                <w:sz w:val="22"/>
                <w:szCs w:val="22"/>
                <w:lang w:val="en-GB"/>
              </w:rPr>
            </w:pPr>
            <w:r>
              <w:rPr>
                <w:rFonts w:ascii="Arial" w:hAnsi="Arial" w:cs="Arial"/>
                <w:sz w:val="22"/>
                <w:szCs w:val="22"/>
                <w:lang w:val="en-GB"/>
              </w:rPr>
              <w:t>0.2</w:t>
            </w:r>
          </w:p>
        </w:tc>
        <w:tc>
          <w:tcPr>
            <w:tcW w:w="3344" w:type="dxa"/>
          </w:tcPr>
          <w:p w14:paraId="3F3BC90A" w14:textId="77777777" w:rsidR="009D19BD" w:rsidRPr="003652A0" w:rsidRDefault="009D19BD" w:rsidP="0046571A">
            <w:pPr>
              <w:keepNext/>
              <w:rPr>
                <w:rFonts w:ascii="Arial" w:hAnsi="Arial" w:cs="Arial"/>
                <w:sz w:val="22"/>
                <w:szCs w:val="22"/>
                <w:lang w:val="en-GB"/>
              </w:rPr>
            </w:pPr>
            <w:r>
              <w:rPr>
                <w:rFonts w:ascii="Arial" w:hAnsi="Arial" w:cs="Arial"/>
                <w:sz w:val="22"/>
                <w:szCs w:val="22"/>
                <w:lang w:val="en-GB"/>
              </w:rPr>
              <w:t>10</w:t>
            </w:r>
            <w:r w:rsidRPr="003652A0">
              <w:rPr>
                <w:rFonts w:ascii="Arial" w:hAnsi="Arial" w:cs="Arial"/>
                <w:sz w:val="22"/>
                <w:szCs w:val="22"/>
                <w:lang w:val="en-GB"/>
              </w:rPr>
              <w:t> 000 000</w:t>
            </w:r>
          </w:p>
        </w:tc>
      </w:tr>
      <w:tr w:rsidR="009D19BD" w:rsidRPr="00B71BF4" w14:paraId="2100C4B5" w14:textId="77777777" w:rsidTr="0046571A">
        <w:tc>
          <w:tcPr>
            <w:tcW w:w="4608" w:type="dxa"/>
          </w:tcPr>
          <w:p w14:paraId="4F180E31" w14:textId="77777777" w:rsidR="009D19BD" w:rsidRPr="009E032B" w:rsidRDefault="009D19BD" w:rsidP="0046571A">
            <w:pPr>
              <w:tabs>
                <w:tab w:val="left" w:pos="360"/>
              </w:tabs>
              <w:ind w:left="360" w:hanging="360"/>
              <w:rPr>
                <w:rFonts w:ascii="Arial" w:hAnsi="Arial" w:cs="Arial"/>
                <w:sz w:val="22"/>
                <w:szCs w:val="22"/>
                <w:lang w:val="en-GB"/>
              </w:rPr>
            </w:pPr>
            <w:r w:rsidRPr="003652A0">
              <w:rPr>
                <w:rFonts w:ascii="Arial" w:hAnsi="Arial" w:cs="Arial"/>
                <w:sz w:val="22"/>
                <w:szCs w:val="22"/>
                <w:lang w:val="en-GB"/>
              </w:rPr>
              <w:sym w:font="Wingdings" w:char="F084"/>
            </w:r>
            <w:r>
              <w:rPr>
                <w:lang w:val="en-GB"/>
              </w:rPr>
              <w:tab/>
            </w:r>
            <w:r w:rsidRPr="009E032B">
              <w:rPr>
                <w:rFonts w:ascii="Arial" w:hAnsi="Arial" w:cs="Arial"/>
                <w:sz w:val="22"/>
                <w:szCs w:val="22"/>
                <w:lang w:val="en-GB"/>
              </w:rPr>
              <w:t>Rupture or</w:t>
            </w:r>
            <w:r>
              <w:rPr>
                <w:rFonts w:ascii="Arial" w:hAnsi="Arial" w:cs="Arial"/>
                <w:sz w:val="22"/>
                <w:szCs w:val="22"/>
                <w:lang w:val="en-GB"/>
              </w:rPr>
              <w:t xml:space="preserve"> </w:t>
            </w:r>
            <w:r w:rsidRPr="009E032B">
              <w:rPr>
                <w:rFonts w:ascii="Arial" w:hAnsi="Arial" w:cs="Arial"/>
                <w:sz w:val="22"/>
                <w:szCs w:val="22"/>
                <w:lang w:val="en-GB"/>
              </w:rPr>
              <w:t>explosion of</w:t>
            </w:r>
            <w:r>
              <w:rPr>
                <w:rFonts w:ascii="Arial" w:hAnsi="Arial" w:cs="Arial"/>
                <w:sz w:val="22"/>
                <w:szCs w:val="22"/>
                <w:lang w:val="en-GB"/>
              </w:rPr>
              <w:t xml:space="preserve"> </w:t>
            </w:r>
            <w:r w:rsidRPr="009E032B">
              <w:rPr>
                <w:rFonts w:ascii="Arial" w:hAnsi="Arial" w:cs="Arial"/>
                <w:sz w:val="22"/>
                <w:szCs w:val="22"/>
                <w:lang w:val="en-GB"/>
              </w:rPr>
              <w:t>separator</w:t>
            </w:r>
          </w:p>
        </w:tc>
        <w:tc>
          <w:tcPr>
            <w:tcW w:w="1260" w:type="dxa"/>
          </w:tcPr>
          <w:p w14:paraId="68E54A56" w14:textId="77777777" w:rsidR="009D19BD" w:rsidRPr="003652A0" w:rsidRDefault="009D19BD" w:rsidP="0046571A">
            <w:pPr>
              <w:rPr>
                <w:rFonts w:ascii="Arial" w:hAnsi="Arial" w:cs="Arial"/>
                <w:sz w:val="22"/>
                <w:szCs w:val="22"/>
                <w:lang w:val="en-GB"/>
              </w:rPr>
            </w:pPr>
            <w:r>
              <w:rPr>
                <w:rFonts w:ascii="Arial" w:hAnsi="Arial" w:cs="Arial"/>
                <w:sz w:val="22"/>
                <w:szCs w:val="22"/>
                <w:lang w:val="en-GB"/>
              </w:rPr>
              <w:t>5</w:t>
            </w:r>
          </w:p>
        </w:tc>
        <w:tc>
          <w:tcPr>
            <w:tcW w:w="3344" w:type="dxa"/>
          </w:tcPr>
          <w:p w14:paraId="3F61AB98" w14:textId="77777777" w:rsidR="009D19BD" w:rsidRPr="003652A0" w:rsidRDefault="009D19BD" w:rsidP="0046571A">
            <w:pPr>
              <w:rPr>
                <w:rFonts w:ascii="Arial" w:hAnsi="Arial" w:cs="Arial"/>
                <w:sz w:val="22"/>
                <w:szCs w:val="22"/>
                <w:lang w:val="en-GB"/>
              </w:rPr>
            </w:pPr>
            <w:r>
              <w:rPr>
                <w:rFonts w:ascii="Arial" w:hAnsi="Arial" w:cs="Arial"/>
                <w:sz w:val="22"/>
                <w:szCs w:val="22"/>
                <w:lang w:val="en-GB"/>
              </w:rPr>
              <w:t>1 000</w:t>
            </w:r>
            <w:r w:rsidRPr="003652A0">
              <w:rPr>
                <w:rFonts w:ascii="Arial" w:hAnsi="Arial" w:cs="Arial"/>
                <w:sz w:val="22"/>
                <w:szCs w:val="22"/>
                <w:lang w:val="en-GB"/>
              </w:rPr>
              <w:t> 000 000</w:t>
            </w:r>
          </w:p>
        </w:tc>
      </w:tr>
    </w:tbl>
    <w:p w14:paraId="3587091B" w14:textId="77777777" w:rsidR="009D19BD" w:rsidRDefault="009D19BD" w:rsidP="009D19BD">
      <w:pPr>
        <w:rPr>
          <w:lang w:val="en-GB"/>
        </w:rPr>
      </w:pPr>
    </w:p>
    <w:p w14:paraId="187510E0" w14:textId="77777777" w:rsidR="009D19BD" w:rsidRDefault="009D19BD" w:rsidP="009D19BD">
      <w:pPr>
        <w:rPr>
          <w:lang w:val="en-GB"/>
        </w:rPr>
      </w:pPr>
      <w:r>
        <w:rPr>
          <w:lang w:val="en-GB"/>
        </w:rPr>
        <w:t>Both the PSVs and the PSD-valves are periodically tested. The relevant reliability data, e.g., the rate of dangerous undetected failures (DU), the common cause factor (</w:t>
      </w:r>
      <w:r w:rsidRPr="00754018">
        <w:rPr>
          <w:i/>
          <w:lang w:val="en-GB"/>
        </w:rPr>
        <w:sym w:font="Symbol" w:char="F062"/>
      </w:r>
      <w:r>
        <w:rPr>
          <w:lang w:val="en-GB"/>
        </w:rPr>
        <w:t xml:space="preserve"> ) etc are given in </w:t>
      </w:r>
      <w:r>
        <w:rPr>
          <w:lang w:val="en-GB"/>
        </w:rPr>
        <w:fldChar w:fldCharType="begin"/>
      </w:r>
      <w:r>
        <w:rPr>
          <w:lang w:val="en-GB"/>
        </w:rPr>
        <w:instrText xml:space="preserve"> REF _Ref152814441 \h </w:instrText>
      </w:r>
      <w:r>
        <w:rPr>
          <w:lang w:val="en-GB"/>
        </w:rPr>
      </w:r>
      <w:r>
        <w:rPr>
          <w:lang w:val="en-GB"/>
        </w:rPr>
        <w:fldChar w:fldCharType="separate"/>
      </w:r>
      <w:r w:rsidRPr="00754018">
        <w:rPr>
          <w:lang w:val="en-GB"/>
        </w:rPr>
        <w:t xml:space="preserve">Table </w:t>
      </w:r>
      <w:r>
        <w:rPr>
          <w:noProof/>
          <w:lang w:val="en-GB"/>
        </w:rPr>
        <w:t>2</w:t>
      </w:r>
      <w:r>
        <w:rPr>
          <w:lang w:val="en-GB"/>
        </w:rPr>
        <w:fldChar w:fldCharType="end"/>
      </w:r>
      <w:r>
        <w:rPr>
          <w:lang w:val="en-GB"/>
        </w:rPr>
        <w:t>.</w:t>
      </w:r>
    </w:p>
    <w:p w14:paraId="5E152077" w14:textId="77777777" w:rsidR="009D19BD" w:rsidRDefault="009D19BD" w:rsidP="009D19BD">
      <w:pPr>
        <w:rPr>
          <w:lang w:val="en-GB"/>
        </w:rPr>
      </w:pPr>
    </w:p>
    <w:p w14:paraId="6B8B4CD2" w14:textId="77777777" w:rsidR="009D19BD" w:rsidRDefault="009D19BD" w:rsidP="009D19BD">
      <w:pPr>
        <w:pStyle w:val="Caption"/>
        <w:rPr>
          <w:lang w:val="en-GB"/>
        </w:rPr>
      </w:pPr>
      <w:bookmarkStart w:id="2" w:name="_Ref152814441"/>
      <w:r w:rsidRPr="00754018">
        <w:rPr>
          <w:lang w:val="en-GB"/>
        </w:rPr>
        <w:t xml:space="preserve">Table </w:t>
      </w:r>
      <w:r>
        <w:fldChar w:fldCharType="begin"/>
      </w:r>
      <w:r w:rsidRPr="00754018">
        <w:rPr>
          <w:lang w:val="en-GB"/>
        </w:rPr>
        <w:instrText xml:space="preserve"> SEQ Table \* ARABIC </w:instrText>
      </w:r>
      <w:r>
        <w:fldChar w:fldCharType="separate"/>
      </w:r>
      <w:r>
        <w:rPr>
          <w:noProof/>
          <w:lang w:val="en-GB"/>
        </w:rPr>
        <w:t>2</w:t>
      </w:r>
      <w:r>
        <w:fldChar w:fldCharType="end"/>
      </w:r>
      <w:bookmarkEnd w:id="2"/>
      <w:r w:rsidRPr="00754018">
        <w:rPr>
          <w:lang w:val="en-GB"/>
        </w:rPr>
        <w:t xml:space="preserve"> Basic reliability data</w:t>
      </w:r>
    </w:p>
    <w:tbl>
      <w:tblPr>
        <w:tblW w:w="7740" w:type="dxa"/>
        <w:tblCellMar>
          <w:left w:w="0" w:type="dxa"/>
          <w:right w:w="0" w:type="dxa"/>
        </w:tblCellMar>
        <w:tblLook w:val="0000" w:firstRow="0" w:lastRow="0" w:firstColumn="0" w:lastColumn="0" w:noHBand="0" w:noVBand="0"/>
      </w:tblPr>
      <w:tblGrid>
        <w:gridCol w:w="1088"/>
        <w:gridCol w:w="1528"/>
        <w:gridCol w:w="5172"/>
      </w:tblGrid>
      <w:tr w:rsidR="009D19BD" w:rsidRPr="00754018" w14:paraId="669070DE" w14:textId="77777777" w:rsidTr="0046571A">
        <w:trPr>
          <w:trHeight w:val="255"/>
        </w:trPr>
        <w:tc>
          <w:tcPr>
            <w:tcW w:w="2584" w:type="dxa"/>
            <w:gridSpan w:val="2"/>
            <w:tcBorders>
              <w:top w:val="nil"/>
              <w:left w:val="nil"/>
              <w:bottom w:val="nil"/>
              <w:right w:val="nil"/>
            </w:tcBorders>
            <w:shd w:val="clear" w:color="auto" w:fill="000000"/>
            <w:noWrap/>
            <w:vAlign w:val="bottom"/>
          </w:tcPr>
          <w:p w14:paraId="5A0EFB17" w14:textId="77777777" w:rsidR="009D19BD" w:rsidRPr="00754018" w:rsidRDefault="009D19BD" w:rsidP="00E43E46">
            <w:pPr>
              <w:spacing w:after="40"/>
              <w:rPr>
                <w:rFonts w:ascii="Arial" w:hAnsi="Arial" w:cs="Arial"/>
                <w:color w:val="FFFFFF"/>
                <w:sz w:val="20"/>
                <w:szCs w:val="20"/>
                <w:lang w:val="en-GB"/>
              </w:rPr>
            </w:pPr>
            <w:r w:rsidRPr="00754018">
              <w:rPr>
                <w:rFonts w:ascii="Arial" w:hAnsi="Arial" w:cs="Arial"/>
                <w:color w:val="FFFFFF"/>
                <w:sz w:val="20"/>
                <w:szCs w:val="20"/>
                <w:lang w:val="en-GB"/>
              </w:rPr>
              <w:t>Parameter   Value</w:t>
            </w:r>
          </w:p>
        </w:tc>
        <w:tc>
          <w:tcPr>
            <w:tcW w:w="5156" w:type="dxa"/>
            <w:tcBorders>
              <w:top w:val="nil"/>
              <w:left w:val="nil"/>
              <w:bottom w:val="nil"/>
              <w:right w:val="nil"/>
            </w:tcBorders>
            <w:shd w:val="clear" w:color="auto" w:fill="000000"/>
            <w:noWrap/>
            <w:vAlign w:val="bottom"/>
          </w:tcPr>
          <w:p w14:paraId="0BC3834A" w14:textId="77777777" w:rsidR="009D19BD" w:rsidRPr="00A35C8D" w:rsidRDefault="009D19BD" w:rsidP="00E43E46">
            <w:pPr>
              <w:spacing w:after="40"/>
              <w:ind w:left="384" w:right="-328"/>
              <w:rPr>
                <w:rFonts w:ascii="Arial" w:hAnsi="Arial" w:cs="Arial"/>
                <w:color w:val="FFFFFF"/>
                <w:sz w:val="20"/>
                <w:szCs w:val="20"/>
                <w:lang w:val="en-GB"/>
              </w:rPr>
            </w:pPr>
            <w:r w:rsidRPr="00A35C8D">
              <w:rPr>
                <w:rFonts w:ascii="Arial" w:hAnsi="Arial" w:cs="Arial"/>
                <w:color w:val="FFFFFF"/>
                <w:sz w:val="20"/>
                <w:szCs w:val="20"/>
                <w:lang w:val="en-GB"/>
              </w:rPr>
              <w:t>Comment</w:t>
            </w:r>
          </w:p>
        </w:tc>
      </w:tr>
      <w:tr w:rsidR="009D19BD" w:rsidRPr="00282B3C" w14:paraId="48EDF430" w14:textId="77777777" w:rsidTr="0046571A">
        <w:trPr>
          <w:trHeight w:val="315"/>
        </w:trPr>
        <w:tc>
          <w:tcPr>
            <w:tcW w:w="0" w:type="auto"/>
            <w:tcBorders>
              <w:top w:val="nil"/>
              <w:left w:val="nil"/>
              <w:bottom w:val="nil"/>
              <w:right w:val="nil"/>
            </w:tcBorders>
            <w:shd w:val="clear" w:color="auto" w:fill="C0C0C0"/>
            <w:noWrap/>
            <w:vAlign w:val="bottom"/>
          </w:tcPr>
          <w:p w14:paraId="4E46DD53" w14:textId="77777777" w:rsidR="009D19BD" w:rsidRPr="00754018" w:rsidRDefault="009D19BD" w:rsidP="00E43E46">
            <w:pPr>
              <w:spacing w:after="40"/>
              <w:jc w:val="both"/>
              <w:rPr>
                <w:rFonts w:ascii="Symbol" w:hAnsi="Symbol" w:cs="Arial"/>
                <w:i/>
                <w:iCs/>
                <w:sz w:val="20"/>
                <w:szCs w:val="20"/>
                <w:lang w:val="en-GB"/>
              </w:rPr>
            </w:pPr>
            <w:r>
              <w:rPr>
                <w:rFonts w:ascii="Symbol" w:hAnsi="Symbol" w:cs="Arial"/>
                <w:i/>
                <w:iCs/>
                <w:sz w:val="20"/>
                <w:szCs w:val="20"/>
              </w:rPr>
              <w:t></w:t>
            </w:r>
            <w:r w:rsidRPr="00754018">
              <w:rPr>
                <w:rFonts w:ascii="Arial" w:hAnsi="Arial" w:cs="Arial"/>
                <w:sz w:val="20"/>
                <w:szCs w:val="20"/>
                <w:vertAlign w:val="subscript"/>
                <w:lang w:val="en-GB"/>
              </w:rPr>
              <w:t>PSW</w:t>
            </w:r>
          </w:p>
        </w:tc>
        <w:tc>
          <w:tcPr>
            <w:tcW w:w="1512" w:type="dxa"/>
            <w:tcBorders>
              <w:top w:val="nil"/>
              <w:left w:val="nil"/>
              <w:bottom w:val="nil"/>
              <w:right w:val="nil"/>
            </w:tcBorders>
            <w:shd w:val="clear" w:color="auto" w:fill="FFFF00"/>
            <w:noWrap/>
            <w:vAlign w:val="bottom"/>
          </w:tcPr>
          <w:p w14:paraId="0FA5897B" w14:textId="77777777" w:rsidR="009D19BD" w:rsidRPr="00754018" w:rsidRDefault="009D19BD" w:rsidP="00E43E46">
            <w:pPr>
              <w:spacing w:after="40"/>
              <w:jc w:val="right"/>
              <w:rPr>
                <w:rFonts w:ascii="Arial" w:hAnsi="Arial" w:cs="Arial"/>
                <w:sz w:val="20"/>
                <w:szCs w:val="20"/>
                <w:lang w:val="en-GB"/>
              </w:rPr>
            </w:pPr>
            <w:bookmarkStart w:id="3" w:name="RANGE!B2"/>
            <w:r w:rsidRPr="00754018">
              <w:rPr>
                <w:rFonts w:ascii="Arial" w:hAnsi="Arial" w:cs="Arial"/>
                <w:sz w:val="20"/>
                <w:szCs w:val="20"/>
                <w:lang w:val="en-GB"/>
              </w:rPr>
              <w:t>1.00E-06</w:t>
            </w:r>
            <w:bookmarkEnd w:id="3"/>
          </w:p>
        </w:tc>
        <w:tc>
          <w:tcPr>
            <w:tcW w:w="5156" w:type="dxa"/>
            <w:tcBorders>
              <w:top w:val="nil"/>
              <w:left w:val="nil"/>
              <w:bottom w:val="nil"/>
              <w:right w:val="nil"/>
            </w:tcBorders>
            <w:shd w:val="clear" w:color="auto" w:fill="auto"/>
            <w:noWrap/>
            <w:vAlign w:val="bottom"/>
          </w:tcPr>
          <w:p w14:paraId="5C97DC5E" w14:textId="77777777" w:rsidR="009D19BD" w:rsidRPr="00A35C8D" w:rsidRDefault="009D19BD" w:rsidP="00E43E46">
            <w:pPr>
              <w:spacing w:after="40"/>
              <w:ind w:left="384" w:right="-328"/>
              <w:rPr>
                <w:rFonts w:ascii="Arial" w:hAnsi="Arial" w:cs="Arial"/>
                <w:sz w:val="20"/>
                <w:szCs w:val="20"/>
                <w:lang w:val="en-GB"/>
              </w:rPr>
            </w:pPr>
            <w:r w:rsidRPr="00A35C8D">
              <w:rPr>
                <w:rFonts w:ascii="Arial" w:hAnsi="Arial" w:cs="Arial"/>
                <w:sz w:val="20"/>
                <w:szCs w:val="20"/>
                <w:lang w:val="en-GB"/>
              </w:rPr>
              <w:t>Rate of DU failures, pressure switches</w:t>
            </w:r>
            <w:r>
              <w:rPr>
                <w:rFonts w:ascii="Arial" w:hAnsi="Arial" w:cs="Arial"/>
                <w:sz w:val="20"/>
                <w:szCs w:val="20"/>
                <w:lang w:val="en-GB"/>
              </w:rPr>
              <w:t xml:space="preserve"> (</w:t>
            </w:r>
            <w:proofErr w:type="gramStart"/>
            <w:r>
              <w:rPr>
                <w:rFonts w:ascii="Arial" w:hAnsi="Arial" w:cs="Arial"/>
                <w:sz w:val="20"/>
                <w:szCs w:val="20"/>
                <w:lang w:val="en-GB"/>
              </w:rPr>
              <w:t>hrs</w:t>
            </w:r>
            <w:r w:rsidRPr="00A43FCC">
              <w:rPr>
                <w:rFonts w:ascii="Arial" w:hAnsi="Arial" w:cs="Arial"/>
                <w:sz w:val="20"/>
                <w:szCs w:val="20"/>
                <w:vertAlign w:val="superscript"/>
                <w:lang w:val="en-GB"/>
              </w:rPr>
              <w:t>-1</w:t>
            </w:r>
            <w:proofErr w:type="gramEnd"/>
            <w:r>
              <w:rPr>
                <w:rFonts w:ascii="Arial" w:hAnsi="Arial" w:cs="Arial"/>
                <w:sz w:val="20"/>
                <w:szCs w:val="20"/>
                <w:lang w:val="en-GB"/>
              </w:rPr>
              <w:t>)</w:t>
            </w:r>
          </w:p>
        </w:tc>
      </w:tr>
      <w:tr w:rsidR="009D19BD" w:rsidRPr="00282B3C" w14:paraId="71176F6E" w14:textId="77777777" w:rsidTr="0046571A">
        <w:trPr>
          <w:trHeight w:val="315"/>
        </w:trPr>
        <w:tc>
          <w:tcPr>
            <w:tcW w:w="0" w:type="auto"/>
            <w:tcBorders>
              <w:top w:val="nil"/>
              <w:left w:val="nil"/>
              <w:bottom w:val="nil"/>
              <w:right w:val="nil"/>
            </w:tcBorders>
            <w:shd w:val="clear" w:color="auto" w:fill="C0C0C0"/>
            <w:noWrap/>
            <w:vAlign w:val="bottom"/>
          </w:tcPr>
          <w:p w14:paraId="6BBDC0CF" w14:textId="77777777" w:rsidR="009D19BD" w:rsidRDefault="009D19BD" w:rsidP="00E43E46">
            <w:pPr>
              <w:spacing w:after="40"/>
              <w:jc w:val="both"/>
              <w:rPr>
                <w:rFonts w:ascii="Symbol" w:hAnsi="Symbol" w:cs="Arial"/>
                <w:i/>
                <w:iCs/>
                <w:sz w:val="20"/>
                <w:szCs w:val="20"/>
              </w:rPr>
            </w:pPr>
            <w:r>
              <w:rPr>
                <w:rFonts w:ascii="Symbol" w:hAnsi="Symbol" w:cs="Arial"/>
                <w:i/>
                <w:iCs/>
                <w:sz w:val="20"/>
                <w:szCs w:val="20"/>
              </w:rPr>
              <w:t></w:t>
            </w:r>
            <w:r>
              <w:rPr>
                <w:rFonts w:ascii="Arial" w:hAnsi="Arial" w:cs="Arial"/>
                <w:sz w:val="20"/>
                <w:szCs w:val="20"/>
                <w:vertAlign w:val="subscript"/>
              </w:rPr>
              <w:t>PSD</w:t>
            </w:r>
          </w:p>
        </w:tc>
        <w:tc>
          <w:tcPr>
            <w:tcW w:w="1512" w:type="dxa"/>
            <w:tcBorders>
              <w:top w:val="nil"/>
              <w:left w:val="nil"/>
              <w:bottom w:val="nil"/>
              <w:right w:val="nil"/>
            </w:tcBorders>
            <w:shd w:val="clear" w:color="auto" w:fill="FFFF00"/>
            <w:noWrap/>
            <w:vAlign w:val="bottom"/>
          </w:tcPr>
          <w:p w14:paraId="699AAA33" w14:textId="77777777" w:rsidR="009D19BD" w:rsidRDefault="009D19BD" w:rsidP="00E43E46">
            <w:pPr>
              <w:spacing w:after="40"/>
              <w:jc w:val="right"/>
              <w:rPr>
                <w:rFonts w:ascii="Arial" w:hAnsi="Arial" w:cs="Arial"/>
                <w:sz w:val="20"/>
                <w:szCs w:val="20"/>
              </w:rPr>
            </w:pPr>
            <w:bookmarkStart w:id="4" w:name="RANGE!B3"/>
            <w:r>
              <w:rPr>
                <w:rFonts w:ascii="Arial" w:hAnsi="Arial" w:cs="Arial"/>
                <w:sz w:val="20"/>
                <w:szCs w:val="20"/>
              </w:rPr>
              <w:t>5.00E-06</w:t>
            </w:r>
            <w:bookmarkEnd w:id="4"/>
          </w:p>
        </w:tc>
        <w:tc>
          <w:tcPr>
            <w:tcW w:w="5156" w:type="dxa"/>
            <w:tcBorders>
              <w:top w:val="nil"/>
              <w:left w:val="nil"/>
              <w:bottom w:val="nil"/>
              <w:right w:val="nil"/>
            </w:tcBorders>
            <w:shd w:val="clear" w:color="auto" w:fill="auto"/>
            <w:noWrap/>
            <w:vAlign w:val="bottom"/>
          </w:tcPr>
          <w:p w14:paraId="6D806108" w14:textId="77777777" w:rsidR="009D19BD" w:rsidRPr="00A35C8D" w:rsidRDefault="009D19BD" w:rsidP="00E43E46">
            <w:pPr>
              <w:spacing w:after="40"/>
              <w:ind w:left="384" w:right="-328"/>
              <w:rPr>
                <w:rFonts w:ascii="Arial" w:hAnsi="Arial" w:cs="Arial"/>
                <w:sz w:val="20"/>
                <w:szCs w:val="20"/>
                <w:lang w:val="en-GB"/>
              </w:rPr>
            </w:pPr>
            <w:r w:rsidRPr="00A35C8D">
              <w:rPr>
                <w:rFonts w:ascii="Arial" w:hAnsi="Arial" w:cs="Arial"/>
                <w:sz w:val="20"/>
                <w:szCs w:val="20"/>
                <w:lang w:val="en-GB"/>
              </w:rPr>
              <w:t>Rate of DU failures, process shutdown valves</w:t>
            </w:r>
            <w:r>
              <w:rPr>
                <w:rFonts w:ascii="Arial" w:hAnsi="Arial" w:cs="Arial"/>
                <w:sz w:val="20"/>
                <w:szCs w:val="20"/>
                <w:lang w:val="en-GB"/>
              </w:rPr>
              <w:t xml:space="preserve"> (</w:t>
            </w:r>
            <w:proofErr w:type="gramStart"/>
            <w:r>
              <w:rPr>
                <w:rFonts w:ascii="Arial" w:hAnsi="Arial" w:cs="Arial"/>
                <w:sz w:val="20"/>
                <w:szCs w:val="20"/>
                <w:lang w:val="en-GB"/>
              </w:rPr>
              <w:t>hrs</w:t>
            </w:r>
            <w:r w:rsidRPr="00A43FCC">
              <w:rPr>
                <w:rFonts w:ascii="Arial" w:hAnsi="Arial" w:cs="Arial"/>
                <w:sz w:val="20"/>
                <w:szCs w:val="20"/>
                <w:vertAlign w:val="superscript"/>
                <w:lang w:val="en-GB"/>
              </w:rPr>
              <w:t>-1</w:t>
            </w:r>
            <w:proofErr w:type="gramEnd"/>
            <w:r>
              <w:rPr>
                <w:rFonts w:ascii="Arial" w:hAnsi="Arial" w:cs="Arial"/>
                <w:sz w:val="20"/>
                <w:szCs w:val="20"/>
                <w:lang w:val="en-GB"/>
              </w:rPr>
              <w:t>)</w:t>
            </w:r>
          </w:p>
        </w:tc>
      </w:tr>
      <w:tr w:rsidR="009D19BD" w:rsidRPr="00204D29" w14:paraId="4D499188" w14:textId="77777777" w:rsidTr="0046571A">
        <w:trPr>
          <w:trHeight w:val="315"/>
        </w:trPr>
        <w:tc>
          <w:tcPr>
            <w:tcW w:w="0" w:type="auto"/>
            <w:tcBorders>
              <w:top w:val="nil"/>
              <w:left w:val="nil"/>
              <w:bottom w:val="nil"/>
              <w:right w:val="nil"/>
            </w:tcBorders>
            <w:shd w:val="clear" w:color="auto" w:fill="C0C0C0"/>
            <w:noWrap/>
            <w:vAlign w:val="bottom"/>
          </w:tcPr>
          <w:p w14:paraId="2B1AD529" w14:textId="77777777" w:rsidR="009D19BD" w:rsidRDefault="009D19BD" w:rsidP="00E43E46">
            <w:pPr>
              <w:spacing w:after="40"/>
              <w:rPr>
                <w:rFonts w:ascii="Arial" w:hAnsi="Arial" w:cs="Arial"/>
                <w:i/>
                <w:iCs/>
                <w:sz w:val="20"/>
                <w:szCs w:val="20"/>
              </w:rPr>
            </w:pPr>
            <w:proofErr w:type="spellStart"/>
            <w:r>
              <w:rPr>
                <w:rFonts w:ascii="Arial" w:hAnsi="Arial" w:cs="Arial"/>
                <w:i/>
                <w:iCs/>
                <w:sz w:val="20"/>
                <w:szCs w:val="20"/>
              </w:rPr>
              <w:t>q</w:t>
            </w:r>
            <w:r>
              <w:rPr>
                <w:rFonts w:ascii="Arial" w:hAnsi="Arial" w:cs="Arial"/>
                <w:i/>
                <w:iCs/>
                <w:sz w:val="20"/>
                <w:szCs w:val="20"/>
                <w:vertAlign w:val="subscript"/>
              </w:rPr>
              <w:t>LU</w:t>
            </w:r>
            <w:proofErr w:type="spellEnd"/>
          </w:p>
        </w:tc>
        <w:tc>
          <w:tcPr>
            <w:tcW w:w="1512" w:type="dxa"/>
            <w:tcBorders>
              <w:top w:val="nil"/>
              <w:left w:val="nil"/>
              <w:bottom w:val="nil"/>
              <w:right w:val="nil"/>
            </w:tcBorders>
            <w:shd w:val="clear" w:color="auto" w:fill="FFFF00"/>
            <w:noWrap/>
            <w:vAlign w:val="bottom"/>
          </w:tcPr>
          <w:p w14:paraId="3F7045A9" w14:textId="77777777" w:rsidR="009D19BD" w:rsidRDefault="009D19BD" w:rsidP="00E43E46">
            <w:pPr>
              <w:spacing w:after="40"/>
              <w:jc w:val="right"/>
              <w:rPr>
                <w:rFonts w:ascii="Arial" w:hAnsi="Arial" w:cs="Arial"/>
                <w:sz w:val="20"/>
                <w:szCs w:val="20"/>
              </w:rPr>
            </w:pPr>
            <w:bookmarkStart w:id="5" w:name="RANGE!B4"/>
            <w:r>
              <w:rPr>
                <w:rFonts w:ascii="Arial" w:hAnsi="Arial" w:cs="Arial"/>
                <w:sz w:val="20"/>
                <w:szCs w:val="20"/>
              </w:rPr>
              <w:t>1.00E-04</w:t>
            </w:r>
            <w:bookmarkEnd w:id="5"/>
          </w:p>
        </w:tc>
        <w:tc>
          <w:tcPr>
            <w:tcW w:w="5156" w:type="dxa"/>
            <w:tcBorders>
              <w:top w:val="nil"/>
              <w:left w:val="nil"/>
              <w:bottom w:val="nil"/>
              <w:right w:val="nil"/>
            </w:tcBorders>
            <w:shd w:val="clear" w:color="auto" w:fill="auto"/>
            <w:noWrap/>
            <w:vAlign w:val="bottom"/>
          </w:tcPr>
          <w:p w14:paraId="512D2DF9" w14:textId="77777777" w:rsidR="009D19BD" w:rsidRPr="00A35C8D" w:rsidRDefault="009D19BD" w:rsidP="00E43E46">
            <w:pPr>
              <w:spacing w:after="40"/>
              <w:ind w:left="384" w:right="-328"/>
              <w:rPr>
                <w:rFonts w:ascii="Arial" w:hAnsi="Arial" w:cs="Arial"/>
                <w:sz w:val="20"/>
                <w:szCs w:val="20"/>
                <w:lang w:val="en-GB"/>
              </w:rPr>
            </w:pPr>
            <w:r w:rsidRPr="00A35C8D">
              <w:rPr>
                <w:rFonts w:ascii="Arial" w:hAnsi="Arial" w:cs="Arial"/>
                <w:sz w:val="20"/>
                <w:szCs w:val="20"/>
                <w:lang w:val="en-GB"/>
              </w:rPr>
              <w:t>Constant failure probability, logic unit</w:t>
            </w:r>
          </w:p>
        </w:tc>
      </w:tr>
      <w:tr w:rsidR="009D19BD" w:rsidRPr="00282B3C" w14:paraId="680BEBDA" w14:textId="77777777" w:rsidTr="0046571A">
        <w:trPr>
          <w:trHeight w:val="315"/>
        </w:trPr>
        <w:tc>
          <w:tcPr>
            <w:tcW w:w="0" w:type="auto"/>
            <w:tcBorders>
              <w:top w:val="nil"/>
              <w:left w:val="nil"/>
              <w:bottom w:val="nil"/>
              <w:right w:val="nil"/>
            </w:tcBorders>
            <w:shd w:val="clear" w:color="auto" w:fill="C0C0C0"/>
            <w:noWrap/>
            <w:vAlign w:val="bottom"/>
          </w:tcPr>
          <w:p w14:paraId="1A60F3B6" w14:textId="77777777" w:rsidR="009D19BD" w:rsidRDefault="009D19BD" w:rsidP="00E43E46">
            <w:pPr>
              <w:spacing w:after="40"/>
              <w:jc w:val="both"/>
              <w:rPr>
                <w:rFonts w:ascii="Symbol" w:hAnsi="Symbol" w:cs="Arial"/>
                <w:i/>
                <w:iCs/>
                <w:sz w:val="20"/>
                <w:szCs w:val="20"/>
              </w:rPr>
            </w:pPr>
            <w:r>
              <w:rPr>
                <w:rFonts w:ascii="Symbol" w:hAnsi="Symbol" w:cs="Arial"/>
                <w:i/>
                <w:iCs/>
                <w:sz w:val="20"/>
                <w:szCs w:val="20"/>
              </w:rPr>
              <w:t></w:t>
            </w:r>
            <w:r>
              <w:rPr>
                <w:rFonts w:ascii="Arial" w:hAnsi="Arial" w:cs="Arial"/>
                <w:sz w:val="20"/>
                <w:szCs w:val="20"/>
                <w:vertAlign w:val="subscript"/>
              </w:rPr>
              <w:t>PSW</w:t>
            </w:r>
          </w:p>
        </w:tc>
        <w:tc>
          <w:tcPr>
            <w:tcW w:w="1512" w:type="dxa"/>
            <w:tcBorders>
              <w:top w:val="nil"/>
              <w:left w:val="nil"/>
              <w:bottom w:val="nil"/>
              <w:right w:val="nil"/>
            </w:tcBorders>
            <w:shd w:val="clear" w:color="auto" w:fill="FFFF00"/>
            <w:noWrap/>
            <w:vAlign w:val="bottom"/>
          </w:tcPr>
          <w:p w14:paraId="147256C6" w14:textId="77777777" w:rsidR="009D19BD" w:rsidRDefault="009D19BD" w:rsidP="00E43E46">
            <w:pPr>
              <w:spacing w:after="40"/>
              <w:jc w:val="right"/>
              <w:rPr>
                <w:rFonts w:ascii="Arial" w:hAnsi="Arial" w:cs="Arial"/>
                <w:sz w:val="20"/>
                <w:szCs w:val="20"/>
              </w:rPr>
            </w:pPr>
            <w:bookmarkStart w:id="6" w:name="RANGE!B5"/>
            <w:r>
              <w:rPr>
                <w:rFonts w:ascii="Arial" w:hAnsi="Arial" w:cs="Arial"/>
                <w:sz w:val="20"/>
                <w:szCs w:val="20"/>
              </w:rPr>
              <w:t>4380</w:t>
            </w:r>
            <w:bookmarkEnd w:id="6"/>
          </w:p>
        </w:tc>
        <w:tc>
          <w:tcPr>
            <w:tcW w:w="5156" w:type="dxa"/>
            <w:tcBorders>
              <w:top w:val="nil"/>
              <w:left w:val="nil"/>
              <w:bottom w:val="nil"/>
              <w:right w:val="nil"/>
            </w:tcBorders>
            <w:shd w:val="clear" w:color="auto" w:fill="auto"/>
            <w:noWrap/>
            <w:vAlign w:val="bottom"/>
          </w:tcPr>
          <w:p w14:paraId="0177B29D" w14:textId="77777777" w:rsidR="009D19BD" w:rsidRPr="00A35C8D" w:rsidRDefault="009D19BD" w:rsidP="00E43E46">
            <w:pPr>
              <w:spacing w:after="40"/>
              <w:ind w:left="384" w:right="-328"/>
              <w:rPr>
                <w:rFonts w:ascii="Arial" w:hAnsi="Arial" w:cs="Arial"/>
                <w:sz w:val="20"/>
                <w:szCs w:val="20"/>
                <w:lang w:val="en-GB"/>
              </w:rPr>
            </w:pPr>
            <w:r w:rsidRPr="00A35C8D">
              <w:rPr>
                <w:rFonts w:ascii="Arial" w:hAnsi="Arial" w:cs="Arial"/>
                <w:sz w:val="20"/>
                <w:szCs w:val="20"/>
                <w:lang w:val="en-GB"/>
              </w:rPr>
              <w:t>Test interval, pressure switches</w:t>
            </w:r>
            <w:r>
              <w:rPr>
                <w:rFonts w:ascii="Arial" w:hAnsi="Arial" w:cs="Arial"/>
                <w:sz w:val="20"/>
                <w:szCs w:val="20"/>
                <w:lang w:val="en-GB"/>
              </w:rPr>
              <w:t xml:space="preserve"> (hrs)</w:t>
            </w:r>
          </w:p>
        </w:tc>
      </w:tr>
      <w:tr w:rsidR="009D19BD" w:rsidRPr="00282B3C" w14:paraId="66824E14" w14:textId="77777777" w:rsidTr="0046571A">
        <w:trPr>
          <w:trHeight w:val="315"/>
        </w:trPr>
        <w:tc>
          <w:tcPr>
            <w:tcW w:w="0" w:type="auto"/>
            <w:tcBorders>
              <w:top w:val="nil"/>
              <w:left w:val="nil"/>
              <w:bottom w:val="nil"/>
              <w:right w:val="nil"/>
            </w:tcBorders>
            <w:shd w:val="clear" w:color="auto" w:fill="C0C0C0"/>
            <w:noWrap/>
            <w:vAlign w:val="bottom"/>
          </w:tcPr>
          <w:p w14:paraId="2C63FA97" w14:textId="77777777" w:rsidR="009D19BD" w:rsidRDefault="009D19BD" w:rsidP="00E43E46">
            <w:pPr>
              <w:spacing w:after="40"/>
              <w:jc w:val="both"/>
              <w:rPr>
                <w:rFonts w:ascii="Symbol" w:hAnsi="Symbol" w:cs="Arial"/>
                <w:i/>
                <w:iCs/>
                <w:sz w:val="20"/>
                <w:szCs w:val="20"/>
              </w:rPr>
            </w:pPr>
            <w:r>
              <w:rPr>
                <w:rFonts w:ascii="Symbol" w:hAnsi="Symbol" w:cs="Arial"/>
                <w:i/>
                <w:iCs/>
                <w:sz w:val="20"/>
                <w:szCs w:val="20"/>
              </w:rPr>
              <w:t></w:t>
            </w:r>
            <w:r>
              <w:rPr>
                <w:rFonts w:ascii="Arial" w:hAnsi="Arial" w:cs="Arial"/>
                <w:sz w:val="20"/>
                <w:szCs w:val="20"/>
                <w:vertAlign w:val="subscript"/>
              </w:rPr>
              <w:t>PSD</w:t>
            </w:r>
          </w:p>
        </w:tc>
        <w:tc>
          <w:tcPr>
            <w:tcW w:w="1512" w:type="dxa"/>
            <w:tcBorders>
              <w:top w:val="nil"/>
              <w:left w:val="nil"/>
              <w:bottom w:val="nil"/>
              <w:right w:val="nil"/>
            </w:tcBorders>
            <w:shd w:val="clear" w:color="auto" w:fill="FFFF00"/>
            <w:noWrap/>
            <w:vAlign w:val="bottom"/>
          </w:tcPr>
          <w:p w14:paraId="1291437B" w14:textId="77777777" w:rsidR="009D19BD" w:rsidRDefault="009D19BD" w:rsidP="00E43E46">
            <w:pPr>
              <w:spacing w:after="40"/>
              <w:jc w:val="right"/>
              <w:rPr>
                <w:rFonts w:ascii="Arial" w:hAnsi="Arial" w:cs="Arial"/>
                <w:sz w:val="20"/>
                <w:szCs w:val="20"/>
              </w:rPr>
            </w:pPr>
            <w:bookmarkStart w:id="7" w:name="RANGE!B6"/>
            <w:r>
              <w:rPr>
                <w:rFonts w:ascii="Arial" w:hAnsi="Arial" w:cs="Arial"/>
                <w:sz w:val="20"/>
                <w:szCs w:val="20"/>
              </w:rPr>
              <w:t>8760</w:t>
            </w:r>
            <w:bookmarkEnd w:id="7"/>
          </w:p>
        </w:tc>
        <w:tc>
          <w:tcPr>
            <w:tcW w:w="5156" w:type="dxa"/>
            <w:tcBorders>
              <w:top w:val="nil"/>
              <w:left w:val="nil"/>
              <w:bottom w:val="nil"/>
              <w:right w:val="nil"/>
            </w:tcBorders>
            <w:shd w:val="clear" w:color="auto" w:fill="auto"/>
            <w:noWrap/>
            <w:vAlign w:val="bottom"/>
          </w:tcPr>
          <w:p w14:paraId="69D68A3E" w14:textId="77777777" w:rsidR="009D19BD" w:rsidRPr="00A35C8D" w:rsidRDefault="009D19BD" w:rsidP="00E43E46">
            <w:pPr>
              <w:spacing w:after="40"/>
              <w:ind w:left="384" w:right="-328"/>
              <w:rPr>
                <w:rFonts w:ascii="Arial" w:hAnsi="Arial" w:cs="Arial"/>
                <w:sz w:val="20"/>
                <w:szCs w:val="20"/>
                <w:lang w:val="en-GB"/>
              </w:rPr>
            </w:pPr>
            <w:r w:rsidRPr="00A35C8D">
              <w:rPr>
                <w:rFonts w:ascii="Arial" w:hAnsi="Arial" w:cs="Arial"/>
                <w:sz w:val="20"/>
                <w:szCs w:val="20"/>
                <w:lang w:val="en-GB"/>
              </w:rPr>
              <w:t>Test interval, process shutdown valves</w:t>
            </w:r>
            <w:r>
              <w:rPr>
                <w:rFonts w:ascii="Arial" w:hAnsi="Arial" w:cs="Arial"/>
                <w:sz w:val="20"/>
                <w:szCs w:val="20"/>
                <w:lang w:val="en-GB"/>
              </w:rPr>
              <w:t xml:space="preserve"> (hrs)</w:t>
            </w:r>
          </w:p>
        </w:tc>
      </w:tr>
      <w:tr w:rsidR="009D19BD" w14:paraId="17D5D2A2" w14:textId="77777777" w:rsidTr="0046571A">
        <w:trPr>
          <w:trHeight w:val="315"/>
        </w:trPr>
        <w:tc>
          <w:tcPr>
            <w:tcW w:w="0" w:type="auto"/>
            <w:tcBorders>
              <w:top w:val="nil"/>
              <w:left w:val="nil"/>
              <w:bottom w:val="nil"/>
              <w:right w:val="nil"/>
            </w:tcBorders>
            <w:shd w:val="clear" w:color="auto" w:fill="C0C0C0"/>
            <w:noWrap/>
            <w:vAlign w:val="bottom"/>
          </w:tcPr>
          <w:p w14:paraId="2FFA4223" w14:textId="77777777" w:rsidR="009D19BD" w:rsidRDefault="009D19BD" w:rsidP="00E43E46">
            <w:pPr>
              <w:spacing w:after="40"/>
              <w:jc w:val="both"/>
              <w:rPr>
                <w:rFonts w:ascii="Symbol" w:hAnsi="Symbol" w:cs="Arial"/>
                <w:i/>
                <w:iCs/>
                <w:sz w:val="20"/>
                <w:szCs w:val="20"/>
              </w:rPr>
            </w:pPr>
            <w:r>
              <w:rPr>
                <w:rFonts w:ascii="Symbol" w:hAnsi="Symbol" w:cs="Arial"/>
                <w:i/>
                <w:iCs/>
                <w:sz w:val="20"/>
                <w:szCs w:val="20"/>
              </w:rPr>
              <w:t></w:t>
            </w:r>
            <w:r>
              <w:rPr>
                <w:rFonts w:ascii="Arial" w:hAnsi="Arial" w:cs="Arial"/>
                <w:sz w:val="20"/>
                <w:szCs w:val="20"/>
                <w:vertAlign w:val="subscript"/>
              </w:rPr>
              <w:t>PSW</w:t>
            </w:r>
          </w:p>
        </w:tc>
        <w:tc>
          <w:tcPr>
            <w:tcW w:w="1512" w:type="dxa"/>
            <w:tcBorders>
              <w:top w:val="nil"/>
              <w:left w:val="nil"/>
              <w:bottom w:val="nil"/>
              <w:right w:val="nil"/>
            </w:tcBorders>
            <w:shd w:val="clear" w:color="auto" w:fill="FFFF00"/>
            <w:noWrap/>
            <w:vAlign w:val="bottom"/>
          </w:tcPr>
          <w:p w14:paraId="2EC80FA2" w14:textId="77777777" w:rsidR="009D19BD" w:rsidRDefault="009D19BD" w:rsidP="00E43E46">
            <w:pPr>
              <w:spacing w:after="40"/>
              <w:jc w:val="right"/>
              <w:rPr>
                <w:rFonts w:ascii="Arial" w:hAnsi="Arial" w:cs="Arial"/>
                <w:sz w:val="20"/>
                <w:szCs w:val="20"/>
              </w:rPr>
            </w:pPr>
            <w:bookmarkStart w:id="8" w:name="RANGE!B7"/>
            <w:r>
              <w:rPr>
                <w:rFonts w:ascii="Arial" w:hAnsi="Arial" w:cs="Arial"/>
                <w:sz w:val="20"/>
                <w:szCs w:val="20"/>
              </w:rPr>
              <w:t>10 %</w:t>
            </w:r>
            <w:bookmarkEnd w:id="8"/>
          </w:p>
        </w:tc>
        <w:tc>
          <w:tcPr>
            <w:tcW w:w="5156" w:type="dxa"/>
            <w:tcBorders>
              <w:top w:val="nil"/>
              <w:left w:val="nil"/>
              <w:bottom w:val="nil"/>
              <w:right w:val="nil"/>
            </w:tcBorders>
            <w:shd w:val="clear" w:color="auto" w:fill="auto"/>
            <w:noWrap/>
            <w:vAlign w:val="bottom"/>
          </w:tcPr>
          <w:p w14:paraId="4C0C884D" w14:textId="77777777" w:rsidR="009D19BD" w:rsidRPr="00A35C8D" w:rsidRDefault="009D19BD" w:rsidP="00E43E46">
            <w:pPr>
              <w:spacing w:after="40"/>
              <w:ind w:left="384" w:right="-328"/>
              <w:rPr>
                <w:rFonts w:ascii="Symbol" w:hAnsi="Symbol" w:cs="Arial"/>
                <w:sz w:val="20"/>
                <w:szCs w:val="20"/>
                <w:lang w:val="en-GB"/>
              </w:rPr>
            </w:pPr>
            <w:r w:rsidRPr="00A35C8D">
              <w:rPr>
                <w:rFonts w:ascii="Symbol" w:hAnsi="Symbol" w:cs="Arial"/>
                <w:sz w:val="20"/>
                <w:szCs w:val="20"/>
                <w:lang w:val="en-GB"/>
              </w:rPr>
              <w:t></w:t>
            </w:r>
            <w:r w:rsidRPr="00A35C8D">
              <w:rPr>
                <w:rFonts w:ascii="Arial" w:hAnsi="Arial" w:cs="Arial"/>
                <w:sz w:val="20"/>
                <w:szCs w:val="20"/>
                <w:lang w:val="en-GB"/>
              </w:rPr>
              <w:t>-factor pressure switches</w:t>
            </w:r>
          </w:p>
        </w:tc>
      </w:tr>
      <w:tr w:rsidR="009D19BD" w14:paraId="580CFD8D" w14:textId="77777777" w:rsidTr="0046571A">
        <w:trPr>
          <w:trHeight w:val="315"/>
        </w:trPr>
        <w:tc>
          <w:tcPr>
            <w:tcW w:w="0" w:type="auto"/>
            <w:tcBorders>
              <w:top w:val="nil"/>
              <w:left w:val="nil"/>
              <w:bottom w:val="nil"/>
              <w:right w:val="nil"/>
            </w:tcBorders>
            <w:shd w:val="clear" w:color="auto" w:fill="C0C0C0"/>
            <w:noWrap/>
            <w:vAlign w:val="bottom"/>
          </w:tcPr>
          <w:p w14:paraId="00FE5078" w14:textId="77777777" w:rsidR="009D19BD" w:rsidRDefault="009D19BD" w:rsidP="00E43E46">
            <w:pPr>
              <w:spacing w:after="40"/>
              <w:jc w:val="both"/>
              <w:rPr>
                <w:rFonts w:ascii="Symbol" w:hAnsi="Symbol" w:cs="Arial"/>
                <w:i/>
                <w:iCs/>
                <w:sz w:val="20"/>
                <w:szCs w:val="20"/>
              </w:rPr>
            </w:pPr>
            <w:r>
              <w:rPr>
                <w:rFonts w:ascii="Symbol" w:hAnsi="Symbol" w:cs="Arial"/>
                <w:i/>
                <w:iCs/>
                <w:sz w:val="20"/>
                <w:szCs w:val="20"/>
              </w:rPr>
              <w:t></w:t>
            </w:r>
            <w:r>
              <w:rPr>
                <w:rFonts w:ascii="Arial" w:hAnsi="Arial" w:cs="Arial"/>
                <w:sz w:val="20"/>
                <w:szCs w:val="20"/>
                <w:vertAlign w:val="subscript"/>
              </w:rPr>
              <w:t>PSD</w:t>
            </w:r>
          </w:p>
        </w:tc>
        <w:tc>
          <w:tcPr>
            <w:tcW w:w="1512" w:type="dxa"/>
            <w:tcBorders>
              <w:top w:val="nil"/>
              <w:left w:val="nil"/>
              <w:bottom w:val="nil"/>
              <w:right w:val="nil"/>
            </w:tcBorders>
            <w:shd w:val="clear" w:color="auto" w:fill="FFFF00"/>
            <w:noWrap/>
            <w:vAlign w:val="bottom"/>
          </w:tcPr>
          <w:p w14:paraId="3761C73D" w14:textId="77777777" w:rsidR="009D19BD" w:rsidRDefault="009D19BD" w:rsidP="00E43E46">
            <w:pPr>
              <w:spacing w:after="40"/>
              <w:jc w:val="right"/>
              <w:rPr>
                <w:rFonts w:ascii="Arial" w:hAnsi="Arial" w:cs="Arial"/>
                <w:sz w:val="20"/>
                <w:szCs w:val="20"/>
              </w:rPr>
            </w:pPr>
            <w:bookmarkStart w:id="9" w:name="RANGE!B8"/>
            <w:r>
              <w:rPr>
                <w:rFonts w:ascii="Arial" w:hAnsi="Arial" w:cs="Arial"/>
                <w:sz w:val="20"/>
                <w:szCs w:val="20"/>
              </w:rPr>
              <w:t>3 %</w:t>
            </w:r>
            <w:bookmarkEnd w:id="9"/>
          </w:p>
        </w:tc>
        <w:tc>
          <w:tcPr>
            <w:tcW w:w="5156" w:type="dxa"/>
            <w:tcBorders>
              <w:top w:val="nil"/>
              <w:left w:val="nil"/>
              <w:bottom w:val="nil"/>
              <w:right w:val="nil"/>
            </w:tcBorders>
            <w:shd w:val="clear" w:color="auto" w:fill="auto"/>
            <w:noWrap/>
            <w:vAlign w:val="bottom"/>
          </w:tcPr>
          <w:p w14:paraId="3D25391E" w14:textId="77777777" w:rsidR="009D19BD" w:rsidRPr="00A35C8D" w:rsidRDefault="009D19BD" w:rsidP="00E43E46">
            <w:pPr>
              <w:spacing w:after="40"/>
              <w:ind w:left="384" w:right="-328"/>
              <w:rPr>
                <w:rFonts w:ascii="Symbol" w:hAnsi="Symbol" w:cs="Arial"/>
                <w:sz w:val="20"/>
                <w:szCs w:val="20"/>
                <w:lang w:val="en-GB"/>
              </w:rPr>
            </w:pPr>
            <w:r w:rsidRPr="00A35C8D">
              <w:rPr>
                <w:rFonts w:ascii="Symbol" w:hAnsi="Symbol" w:cs="Arial"/>
                <w:sz w:val="20"/>
                <w:szCs w:val="20"/>
                <w:lang w:val="en-GB"/>
              </w:rPr>
              <w:t></w:t>
            </w:r>
            <w:r w:rsidRPr="00A35C8D">
              <w:rPr>
                <w:rFonts w:ascii="Arial" w:hAnsi="Arial" w:cs="Arial"/>
                <w:sz w:val="20"/>
                <w:szCs w:val="20"/>
                <w:lang w:val="en-GB"/>
              </w:rPr>
              <w:t>-factor process shutdown valves</w:t>
            </w:r>
          </w:p>
        </w:tc>
      </w:tr>
      <w:tr w:rsidR="009D19BD" w:rsidRPr="00282B3C" w14:paraId="79EDD94B" w14:textId="77777777" w:rsidTr="0046571A">
        <w:trPr>
          <w:trHeight w:val="315"/>
        </w:trPr>
        <w:tc>
          <w:tcPr>
            <w:tcW w:w="1072" w:type="dxa"/>
            <w:tcBorders>
              <w:top w:val="nil"/>
              <w:left w:val="nil"/>
              <w:bottom w:val="nil"/>
              <w:right w:val="nil"/>
            </w:tcBorders>
            <w:shd w:val="clear" w:color="auto" w:fill="C0C0C0"/>
            <w:noWrap/>
            <w:vAlign w:val="bottom"/>
          </w:tcPr>
          <w:p w14:paraId="0567F945" w14:textId="77777777" w:rsidR="009D19BD" w:rsidRDefault="009D19BD" w:rsidP="00E43E46">
            <w:pPr>
              <w:spacing w:after="40"/>
              <w:jc w:val="both"/>
              <w:rPr>
                <w:rFonts w:ascii="Symbol" w:hAnsi="Symbol" w:cs="Arial"/>
                <w:i/>
                <w:iCs/>
                <w:sz w:val="20"/>
                <w:szCs w:val="20"/>
              </w:rPr>
            </w:pPr>
            <w:r>
              <w:rPr>
                <w:rFonts w:ascii="Symbol" w:hAnsi="Symbol" w:cs="Arial"/>
                <w:i/>
                <w:iCs/>
                <w:sz w:val="20"/>
                <w:szCs w:val="20"/>
              </w:rPr>
              <w:t></w:t>
            </w:r>
            <w:proofErr w:type="spellStart"/>
            <w:r>
              <w:rPr>
                <w:rFonts w:ascii="Arial" w:hAnsi="Arial" w:cs="Arial"/>
                <w:sz w:val="20"/>
                <w:szCs w:val="20"/>
                <w:vertAlign w:val="subscript"/>
              </w:rPr>
              <w:t>Demand</w:t>
            </w:r>
            <w:proofErr w:type="spellEnd"/>
          </w:p>
        </w:tc>
        <w:tc>
          <w:tcPr>
            <w:tcW w:w="1512" w:type="dxa"/>
            <w:tcBorders>
              <w:top w:val="nil"/>
              <w:left w:val="nil"/>
              <w:bottom w:val="nil"/>
              <w:right w:val="nil"/>
            </w:tcBorders>
            <w:shd w:val="clear" w:color="auto" w:fill="FFFF00"/>
            <w:noWrap/>
            <w:vAlign w:val="bottom"/>
          </w:tcPr>
          <w:p w14:paraId="00D286E4" w14:textId="77777777" w:rsidR="009D19BD" w:rsidRDefault="009D19BD" w:rsidP="00E43E46">
            <w:pPr>
              <w:spacing w:after="40"/>
              <w:jc w:val="right"/>
              <w:rPr>
                <w:rFonts w:ascii="Arial" w:hAnsi="Arial" w:cs="Arial"/>
                <w:sz w:val="20"/>
                <w:szCs w:val="20"/>
              </w:rPr>
            </w:pPr>
            <w:r>
              <w:rPr>
                <w:rFonts w:ascii="Arial" w:hAnsi="Arial" w:cs="Arial"/>
                <w:sz w:val="20"/>
                <w:szCs w:val="20"/>
              </w:rPr>
              <w:t>3E-03</w:t>
            </w:r>
          </w:p>
        </w:tc>
        <w:tc>
          <w:tcPr>
            <w:tcW w:w="5156" w:type="dxa"/>
            <w:tcBorders>
              <w:top w:val="nil"/>
              <w:left w:val="nil"/>
              <w:bottom w:val="nil"/>
              <w:right w:val="nil"/>
            </w:tcBorders>
            <w:shd w:val="clear" w:color="auto" w:fill="auto"/>
            <w:noWrap/>
            <w:vAlign w:val="bottom"/>
          </w:tcPr>
          <w:p w14:paraId="278D7C7F" w14:textId="77777777" w:rsidR="009D19BD" w:rsidRPr="00A35C8D" w:rsidRDefault="009D19BD" w:rsidP="00E43E46">
            <w:pPr>
              <w:spacing w:after="40"/>
              <w:ind w:left="384" w:right="-328"/>
              <w:rPr>
                <w:rFonts w:ascii="Arial" w:hAnsi="Arial" w:cs="Arial"/>
                <w:sz w:val="20"/>
                <w:szCs w:val="20"/>
                <w:lang w:val="en-GB"/>
              </w:rPr>
            </w:pPr>
            <w:r w:rsidRPr="00A35C8D">
              <w:rPr>
                <w:rFonts w:ascii="Arial" w:hAnsi="Arial" w:cs="Arial"/>
                <w:sz w:val="20"/>
                <w:szCs w:val="20"/>
                <w:lang w:val="en-GB"/>
              </w:rPr>
              <w:t>Frequency of gas outlet blockage</w:t>
            </w:r>
            <w:r>
              <w:rPr>
                <w:rFonts w:ascii="Arial" w:hAnsi="Arial" w:cs="Arial"/>
                <w:sz w:val="20"/>
                <w:szCs w:val="20"/>
                <w:lang w:val="en-GB"/>
              </w:rPr>
              <w:t xml:space="preserve"> (</w:t>
            </w:r>
            <w:proofErr w:type="gramStart"/>
            <w:r>
              <w:rPr>
                <w:rFonts w:ascii="Arial" w:hAnsi="Arial" w:cs="Arial"/>
                <w:sz w:val="20"/>
                <w:szCs w:val="20"/>
                <w:lang w:val="en-GB"/>
              </w:rPr>
              <w:t>hrs</w:t>
            </w:r>
            <w:r w:rsidRPr="00A43FCC">
              <w:rPr>
                <w:rFonts w:ascii="Arial" w:hAnsi="Arial" w:cs="Arial"/>
                <w:sz w:val="20"/>
                <w:szCs w:val="20"/>
                <w:vertAlign w:val="superscript"/>
                <w:lang w:val="en-GB"/>
              </w:rPr>
              <w:t>-1</w:t>
            </w:r>
            <w:proofErr w:type="gramEnd"/>
            <w:r>
              <w:rPr>
                <w:rFonts w:ascii="Arial" w:hAnsi="Arial" w:cs="Arial"/>
                <w:sz w:val="20"/>
                <w:szCs w:val="20"/>
                <w:lang w:val="en-GB"/>
              </w:rPr>
              <w:t>)</w:t>
            </w:r>
          </w:p>
        </w:tc>
      </w:tr>
      <w:tr w:rsidR="009D19BD" w:rsidRPr="00282B3C" w14:paraId="5E904806" w14:textId="77777777" w:rsidTr="0046571A">
        <w:trPr>
          <w:trHeight w:val="315"/>
        </w:trPr>
        <w:tc>
          <w:tcPr>
            <w:tcW w:w="0" w:type="auto"/>
            <w:tcBorders>
              <w:top w:val="nil"/>
              <w:left w:val="nil"/>
              <w:bottom w:val="nil"/>
              <w:right w:val="nil"/>
            </w:tcBorders>
            <w:shd w:val="clear" w:color="auto" w:fill="C0C0C0"/>
            <w:noWrap/>
            <w:vAlign w:val="bottom"/>
          </w:tcPr>
          <w:p w14:paraId="34B610B0" w14:textId="77777777" w:rsidR="009D19BD" w:rsidRDefault="009D19BD" w:rsidP="00E43E46">
            <w:pPr>
              <w:spacing w:after="40"/>
              <w:jc w:val="both"/>
              <w:rPr>
                <w:rFonts w:ascii="Symbol" w:hAnsi="Symbol" w:cs="Arial"/>
                <w:i/>
                <w:iCs/>
                <w:sz w:val="20"/>
                <w:szCs w:val="20"/>
              </w:rPr>
            </w:pPr>
            <w:r>
              <w:rPr>
                <w:rFonts w:ascii="Symbol" w:hAnsi="Symbol" w:cs="Arial"/>
                <w:i/>
                <w:iCs/>
                <w:sz w:val="20"/>
                <w:szCs w:val="20"/>
              </w:rPr>
              <w:t></w:t>
            </w:r>
            <w:r>
              <w:rPr>
                <w:rFonts w:ascii="Arial" w:hAnsi="Arial" w:cs="Arial"/>
                <w:sz w:val="20"/>
                <w:szCs w:val="20"/>
                <w:vertAlign w:val="subscript"/>
              </w:rPr>
              <w:t>PSV</w:t>
            </w:r>
          </w:p>
        </w:tc>
        <w:tc>
          <w:tcPr>
            <w:tcW w:w="1512" w:type="dxa"/>
            <w:tcBorders>
              <w:top w:val="nil"/>
              <w:left w:val="nil"/>
              <w:bottom w:val="nil"/>
              <w:right w:val="nil"/>
            </w:tcBorders>
            <w:shd w:val="clear" w:color="auto" w:fill="FFFF00"/>
            <w:noWrap/>
            <w:vAlign w:val="bottom"/>
          </w:tcPr>
          <w:p w14:paraId="47AB0A87" w14:textId="77777777" w:rsidR="009D19BD" w:rsidRDefault="009D19BD" w:rsidP="00E43E46">
            <w:pPr>
              <w:spacing w:after="40"/>
              <w:jc w:val="right"/>
              <w:rPr>
                <w:rFonts w:ascii="Arial" w:hAnsi="Arial" w:cs="Arial"/>
                <w:sz w:val="20"/>
                <w:szCs w:val="20"/>
              </w:rPr>
            </w:pPr>
            <w:r>
              <w:rPr>
                <w:rFonts w:ascii="Arial" w:hAnsi="Arial" w:cs="Arial"/>
                <w:sz w:val="20"/>
                <w:szCs w:val="20"/>
              </w:rPr>
              <w:t>8E-06</w:t>
            </w:r>
          </w:p>
        </w:tc>
        <w:tc>
          <w:tcPr>
            <w:tcW w:w="5156" w:type="dxa"/>
            <w:tcBorders>
              <w:top w:val="nil"/>
              <w:left w:val="nil"/>
              <w:bottom w:val="nil"/>
              <w:right w:val="nil"/>
            </w:tcBorders>
            <w:shd w:val="clear" w:color="auto" w:fill="auto"/>
            <w:noWrap/>
            <w:vAlign w:val="bottom"/>
          </w:tcPr>
          <w:p w14:paraId="07BFA7AD" w14:textId="77777777" w:rsidR="009D19BD" w:rsidRPr="00A35C8D" w:rsidRDefault="009D19BD" w:rsidP="00E43E46">
            <w:pPr>
              <w:spacing w:after="40"/>
              <w:ind w:left="384" w:right="-328"/>
              <w:rPr>
                <w:rFonts w:ascii="Arial" w:hAnsi="Arial" w:cs="Arial"/>
                <w:sz w:val="20"/>
                <w:szCs w:val="20"/>
                <w:lang w:val="en-GB"/>
              </w:rPr>
            </w:pPr>
            <w:r w:rsidRPr="00A35C8D">
              <w:rPr>
                <w:rFonts w:ascii="Arial" w:hAnsi="Arial" w:cs="Arial"/>
                <w:sz w:val="20"/>
                <w:szCs w:val="20"/>
                <w:lang w:val="en-GB"/>
              </w:rPr>
              <w:t>Rate of DU failures, pressure relief valves</w:t>
            </w:r>
            <w:r>
              <w:rPr>
                <w:rFonts w:ascii="Arial" w:hAnsi="Arial" w:cs="Arial"/>
                <w:sz w:val="20"/>
                <w:szCs w:val="20"/>
                <w:lang w:val="en-GB"/>
              </w:rPr>
              <w:t xml:space="preserve"> (</w:t>
            </w:r>
            <w:proofErr w:type="gramStart"/>
            <w:r>
              <w:rPr>
                <w:rFonts w:ascii="Arial" w:hAnsi="Arial" w:cs="Arial"/>
                <w:sz w:val="20"/>
                <w:szCs w:val="20"/>
                <w:lang w:val="en-GB"/>
              </w:rPr>
              <w:t>hrs</w:t>
            </w:r>
            <w:r w:rsidRPr="00A43FCC">
              <w:rPr>
                <w:rFonts w:ascii="Arial" w:hAnsi="Arial" w:cs="Arial"/>
                <w:sz w:val="20"/>
                <w:szCs w:val="20"/>
                <w:vertAlign w:val="superscript"/>
                <w:lang w:val="en-GB"/>
              </w:rPr>
              <w:t>-1</w:t>
            </w:r>
            <w:proofErr w:type="gramEnd"/>
            <w:r>
              <w:rPr>
                <w:rFonts w:ascii="Arial" w:hAnsi="Arial" w:cs="Arial"/>
                <w:sz w:val="20"/>
                <w:szCs w:val="20"/>
                <w:lang w:val="en-GB"/>
              </w:rPr>
              <w:t>)</w:t>
            </w:r>
          </w:p>
        </w:tc>
      </w:tr>
      <w:tr w:rsidR="009D19BD" w:rsidRPr="00204D29" w14:paraId="1AAB2E3A" w14:textId="77777777" w:rsidTr="0046571A">
        <w:trPr>
          <w:trHeight w:val="315"/>
        </w:trPr>
        <w:tc>
          <w:tcPr>
            <w:tcW w:w="0" w:type="auto"/>
            <w:tcBorders>
              <w:top w:val="nil"/>
              <w:left w:val="nil"/>
              <w:bottom w:val="nil"/>
              <w:right w:val="nil"/>
            </w:tcBorders>
            <w:shd w:val="clear" w:color="auto" w:fill="C0C0C0"/>
            <w:noWrap/>
            <w:vAlign w:val="bottom"/>
          </w:tcPr>
          <w:p w14:paraId="60280683" w14:textId="77777777" w:rsidR="009D19BD" w:rsidRDefault="009D19BD" w:rsidP="00E43E46">
            <w:pPr>
              <w:spacing w:after="40"/>
              <w:rPr>
                <w:rFonts w:ascii="Arial" w:hAnsi="Arial" w:cs="Arial"/>
                <w:i/>
                <w:iCs/>
                <w:sz w:val="20"/>
                <w:szCs w:val="20"/>
              </w:rPr>
            </w:pPr>
            <w:proofErr w:type="spellStart"/>
            <w:r>
              <w:rPr>
                <w:rFonts w:ascii="Arial" w:hAnsi="Arial" w:cs="Arial"/>
                <w:i/>
                <w:iCs/>
                <w:sz w:val="20"/>
                <w:szCs w:val="20"/>
              </w:rPr>
              <w:t>q</w:t>
            </w:r>
            <w:r>
              <w:rPr>
                <w:rFonts w:ascii="Arial" w:hAnsi="Arial" w:cs="Arial"/>
                <w:i/>
                <w:iCs/>
                <w:sz w:val="20"/>
                <w:szCs w:val="20"/>
                <w:vertAlign w:val="subscript"/>
              </w:rPr>
              <w:t>RD</w:t>
            </w:r>
            <w:proofErr w:type="spellEnd"/>
          </w:p>
        </w:tc>
        <w:tc>
          <w:tcPr>
            <w:tcW w:w="1512" w:type="dxa"/>
            <w:tcBorders>
              <w:top w:val="nil"/>
              <w:left w:val="nil"/>
              <w:bottom w:val="nil"/>
              <w:right w:val="nil"/>
            </w:tcBorders>
            <w:shd w:val="clear" w:color="auto" w:fill="FFFF00"/>
            <w:noWrap/>
            <w:vAlign w:val="bottom"/>
          </w:tcPr>
          <w:p w14:paraId="7A8EC4D9" w14:textId="77777777" w:rsidR="009D19BD" w:rsidRDefault="009D19BD" w:rsidP="00E43E46">
            <w:pPr>
              <w:spacing w:after="40"/>
              <w:jc w:val="right"/>
              <w:rPr>
                <w:rFonts w:ascii="Arial" w:hAnsi="Arial" w:cs="Arial"/>
                <w:sz w:val="20"/>
                <w:szCs w:val="20"/>
              </w:rPr>
            </w:pPr>
            <w:r>
              <w:rPr>
                <w:rFonts w:ascii="Arial" w:hAnsi="Arial" w:cs="Arial"/>
                <w:sz w:val="20"/>
                <w:szCs w:val="20"/>
              </w:rPr>
              <w:t>E-03</w:t>
            </w:r>
          </w:p>
        </w:tc>
        <w:tc>
          <w:tcPr>
            <w:tcW w:w="5156" w:type="dxa"/>
            <w:tcBorders>
              <w:top w:val="nil"/>
              <w:left w:val="nil"/>
              <w:bottom w:val="nil"/>
              <w:right w:val="nil"/>
            </w:tcBorders>
            <w:shd w:val="clear" w:color="auto" w:fill="auto"/>
            <w:noWrap/>
            <w:vAlign w:val="bottom"/>
          </w:tcPr>
          <w:p w14:paraId="5222C34C" w14:textId="77777777" w:rsidR="009D19BD" w:rsidRPr="00A35C8D" w:rsidRDefault="009D19BD" w:rsidP="00E43E46">
            <w:pPr>
              <w:spacing w:after="40"/>
              <w:ind w:left="384" w:right="-328"/>
              <w:rPr>
                <w:rFonts w:ascii="Arial" w:hAnsi="Arial" w:cs="Arial"/>
                <w:sz w:val="20"/>
                <w:szCs w:val="20"/>
                <w:lang w:val="en-GB"/>
              </w:rPr>
            </w:pPr>
            <w:r w:rsidRPr="00A35C8D">
              <w:rPr>
                <w:rFonts w:ascii="Arial" w:hAnsi="Arial" w:cs="Arial"/>
                <w:sz w:val="20"/>
                <w:szCs w:val="20"/>
                <w:lang w:val="en-GB"/>
              </w:rPr>
              <w:t>Constant failure probability, rupture disc</w:t>
            </w:r>
          </w:p>
        </w:tc>
      </w:tr>
      <w:tr w:rsidR="009D19BD" w:rsidRPr="00282B3C" w14:paraId="333BAC85" w14:textId="77777777" w:rsidTr="0046571A">
        <w:trPr>
          <w:trHeight w:val="315"/>
        </w:trPr>
        <w:tc>
          <w:tcPr>
            <w:tcW w:w="0" w:type="auto"/>
            <w:tcBorders>
              <w:top w:val="nil"/>
              <w:left w:val="nil"/>
              <w:bottom w:val="nil"/>
              <w:right w:val="nil"/>
            </w:tcBorders>
            <w:shd w:val="clear" w:color="auto" w:fill="C0C0C0"/>
            <w:noWrap/>
            <w:vAlign w:val="bottom"/>
          </w:tcPr>
          <w:p w14:paraId="341924F6" w14:textId="77777777" w:rsidR="009D19BD" w:rsidRDefault="009D19BD" w:rsidP="00E43E46">
            <w:pPr>
              <w:spacing w:after="40"/>
              <w:jc w:val="both"/>
              <w:rPr>
                <w:rFonts w:ascii="Symbol" w:hAnsi="Symbol" w:cs="Arial"/>
                <w:i/>
                <w:iCs/>
                <w:sz w:val="20"/>
                <w:szCs w:val="20"/>
              </w:rPr>
            </w:pPr>
            <w:r>
              <w:rPr>
                <w:rFonts w:ascii="Symbol" w:hAnsi="Symbol" w:cs="Arial"/>
                <w:i/>
                <w:iCs/>
                <w:sz w:val="20"/>
                <w:szCs w:val="20"/>
              </w:rPr>
              <w:t></w:t>
            </w:r>
            <w:r>
              <w:rPr>
                <w:rFonts w:ascii="Arial" w:hAnsi="Arial" w:cs="Arial"/>
                <w:sz w:val="20"/>
                <w:szCs w:val="20"/>
                <w:vertAlign w:val="subscript"/>
              </w:rPr>
              <w:t>PSV</w:t>
            </w:r>
          </w:p>
        </w:tc>
        <w:tc>
          <w:tcPr>
            <w:tcW w:w="1512" w:type="dxa"/>
            <w:tcBorders>
              <w:top w:val="nil"/>
              <w:left w:val="nil"/>
              <w:bottom w:val="nil"/>
              <w:right w:val="nil"/>
            </w:tcBorders>
            <w:shd w:val="clear" w:color="auto" w:fill="FFFF00"/>
            <w:noWrap/>
            <w:vAlign w:val="bottom"/>
          </w:tcPr>
          <w:p w14:paraId="43ABCC8E" w14:textId="77777777" w:rsidR="009D19BD" w:rsidRDefault="009D19BD" w:rsidP="00E43E46">
            <w:pPr>
              <w:spacing w:after="40"/>
              <w:jc w:val="right"/>
              <w:rPr>
                <w:rFonts w:ascii="Arial" w:hAnsi="Arial" w:cs="Arial"/>
                <w:sz w:val="20"/>
                <w:szCs w:val="20"/>
              </w:rPr>
            </w:pPr>
            <w:r>
              <w:rPr>
                <w:rFonts w:ascii="Arial" w:hAnsi="Arial" w:cs="Arial"/>
                <w:sz w:val="20"/>
                <w:szCs w:val="20"/>
              </w:rPr>
              <w:t>8760</w:t>
            </w:r>
          </w:p>
        </w:tc>
        <w:tc>
          <w:tcPr>
            <w:tcW w:w="5156" w:type="dxa"/>
            <w:tcBorders>
              <w:top w:val="nil"/>
              <w:left w:val="nil"/>
              <w:bottom w:val="nil"/>
              <w:right w:val="nil"/>
            </w:tcBorders>
            <w:shd w:val="clear" w:color="auto" w:fill="auto"/>
            <w:noWrap/>
            <w:vAlign w:val="bottom"/>
          </w:tcPr>
          <w:p w14:paraId="30D33F99" w14:textId="77777777" w:rsidR="009D19BD" w:rsidRPr="00A35C8D" w:rsidRDefault="009D19BD" w:rsidP="00E43E46">
            <w:pPr>
              <w:spacing w:after="40"/>
              <w:ind w:left="384" w:right="-328"/>
              <w:rPr>
                <w:rFonts w:ascii="Arial" w:hAnsi="Arial" w:cs="Arial"/>
                <w:sz w:val="20"/>
                <w:szCs w:val="20"/>
                <w:lang w:val="en-GB"/>
              </w:rPr>
            </w:pPr>
            <w:r w:rsidRPr="00A35C8D">
              <w:rPr>
                <w:rFonts w:ascii="Arial" w:hAnsi="Arial" w:cs="Arial"/>
                <w:sz w:val="20"/>
                <w:szCs w:val="20"/>
                <w:lang w:val="en-GB"/>
              </w:rPr>
              <w:t>Test interval, pressure relief valves</w:t>
            </w:r>
            <w:r>
              <w:rPr>
                <w:rFonts w:ascii="Arial" w:hAnsi="Arial" w:cs="Arial"/>
                <w:sz w:val="20"/>
                <w:szCs w:val="20"/>
                <w:lang w:val="en-GB"/>
              </w:rPr>
              <w:t xml:space="preserve"> (hrs)</w:t>
            </w:r>
          </w:p>
        </w:tc>
      </w:tr>
      <w:tr w:rsidR="009D19BD" w:rsidRPr="00904D36" w14:paraId="52B37333" w14:textId="77777777" w:rsidTr="0046571A">
        <w:trPr>
          <w:trHeight w:val="315"/>
        </w:trPr>
        <w:tc>
          <w:tcPr>
            <w:tcW w:w="0" w:type="auto"/>
            <w:tcBorders>
              <w:top w:val="nil"/>
              <w:left w:val="nil"/>
              <w:bottom w:val="nil"/>
              <w:right w:val="nil"/>
            </w:tcBorders>
            <w:shd w:val="clear" w:color="auto" w:fill="C0C0C0"/>
            <w:noWrap/>
            <w:vAlign w:val="bottom"/>
          </w:tcPr>
          <w:p w14:paraId="13563F4A" w14:textId="77777777" w:rsidR="009D19BD" w:rsidRPr="00904D36" w:rsidRDefault="009D19BD" w:rsidP="00E43E46">
            <w:pPr>
              <w:spacing w:after="40"/>
              <w:jc w:val="both"/>
              <w:rPr>
                <w:rFonts w:ascii="Symbol" w:hAnsi="Symbol" w:cs="Arial"/>
                <w:i/>
                <w:iCs/>
                <w:sz w:val="20"/>
                <w:szCs w:val="20"/>
                <w:lang w:val="en-GB"/>
              </w:rPr>
            </w:pPr>
            <w:r>
              <w:rPr>
                <w:rFonts w:ascii="Symbol" w:hAnsi="Symbol" w:cs="Arial"/>
                <w:i/>
                <w:iCs/>
                <w:sz w:val="20"/>
                <w:szCs w:val="20"/>
              </w:rPr>
              <w:t></w:t>
            </w:r>
            <w:r w:rsidRPr="00904D36">
              <w:rPr>
                <w:rFonts w:ascii="Arial" w:hAnsi="Arial" w:cs="Arial"/>
                <w:sz w:val="20"/>
                <w:szCs w:val="20"/>
                <w:vertAlign w:val="subscript"/>
                <w:lang w:val="en-GB"/>
              </w:rPr>
              <w:t>PSV</w:t>
            </w:r>
          </w:p>
        </w:tc>
        <w:tc>
          <w:tcPr>
            <w:tcW w:w="1512" w:type="dxa"/>
            <w:tcBorders>
              <w:top w:val="nil"/>
              <w:left w:val="nil"/>
              <w:bottom w:val="nil"/>
              <w:right w:val="nil"/>
            </w:tcBorders>
            <w:shd w:val="clear" w:color="auto" w:fill="FFFF00"/>
            <w:noWrap/>
            <w:vAlign w:val="bottom"/>
          </w:tcPr>
          <w:p w14:paraId="6EC6AC9B" w14:textId="77777777" w:rsidR="009D19BD" w:rsidRDefault="009D19BD" w:rsidP="00E43E46">
            <w:pPr>
              <w:spacing w:after="40"/>
              <w:jc w:val="right"/>
              <w:rPr>
                <w:rFonts w:ascii="Arial" w:hAnsi="Arial" w:cs="Arial"/>
                <w:sz w:val="20"/>
                <w:szCs w:val="20"/>
              </w:rPr>
            </w:pPr>
            <w:r>
              <w:rPr>
                <w:rFonts w:ascii="Arial" w:hAnsi="Arial" w:cs="Arial"/>
                <w:sz w:val="20"/>
                <w:szCs w:val="20"/>
              </w:rPr>
              <w:t>10 %</w:t>
            </w:r>
          </w:p>
        </w:tc>
        <w:tc>
          <w:tcPr>
            <w:tcW w:w="5156" w:type="dxa"/>
            <w:tcBorders>
              <w:top w:val="nil"/>
              <w:left w:val="nil"/>
              <w:bottom w:val="nil"/>
              <w:right w:val="nil"/>
            </w:tcBorders>
            <w:shd w:val="clear" w:color="auto" w:fill="auto"/>
            <w:noWrap/>
            <w:vAlign w:val="bottom"/>
          </w:tcPr>
          <w:p w14:paraId="56D8B563" w14:textId="77777777" w:rsidR="009D19BD" w:rsidRPr="00A35C8D" w:rsidRDefault="009D19BD" w:rsidP="00E43E46">
            <w:pPr>
              <w:spacing w:after="40"/>
              <w:ind w:left="384" w:right="-328"/>
              <w:rPr>
                <w:rFonts w:ascii="Arial" w:hAnsi="Arial" w:cs="Arial"/>
                <w:sz w:val="20"/>
                <w:szCs w:val="20"/>
                <w:lang w:val="en-GB"/>
              </w:rPr>
            </w:pPr>
            <w:r w:rsidRPr="00A35C8D">
              <w:rPr>
                <w:rFonts w:ascii="Symbol" w:hAnsi="Symbol" w:cs="Arial"/>
                <w:sz w:val="20"/>
                <w:szCs w:val="20"/>
                <w:lang w:val="en-GB"/>
              </w:rPr>
              <w:t></w:t>
            </w:r>
            <w:r w:rsidRPr="00A35C8D">
              <w:rPr>
                <w:rFonts w:ascii="Arial" w:hAnsi="Arial" w:cs="Arial"/>
                <w:sz w:val="20"/>
                <w:szCs w:val="20"/>
                <w:lang w:val="en-GB"/>
              </w:rPr>
              <w:t>-factor pressure relief valves</w:t>
            </w:r>
          </w:p>
        </w:tc>
      </w:tr>
    </w:tbl>
    <w:p w14:paraId="49575C5E" w14:textId="77777777" w:rsidR="009D19BD" w:rsidRDefault="009D19BD" w:rsidP="009D19BD">
      <w:pPr>
        <w:rPr>
          <w:lang w:val="en-GB"/>
        </w:rPr>
      </w:pPr>
    </w:p>
    <w:p w14:paraId="377F711E" w14:textId="77777777" w:rsidR="009D19BD" w:rsidRDefault="009D19BD" w:rsidP="009D19BD">
      <w:pPr>
        <w:numPr>
          <w:ilvl w:val="0"/>
          <w:numId w:val="1"/>
        </w:numPr>
        <w:tabs>
          <w:tab w:val="clear" w:pos="720"/>
          <w:tab w:val="num" w:pos="360"/>
        </w:tabs>
        <w:spacing w:after="0" w:line="240" w:lineRule="auto"/>
        <w:ind w:left="360"/>
        <w:rPr>
          <w:lang w:val="en-GB"/>
        </w:rPr>
      </w:pPr>
      <w:r>
        <w:rPr>
          <w:lang w:val="en-GB"/>
        </w:rPr>
        <w:t xml:space="preserve">Establish a fault tree for the PSD </w:t>
      </w:r>
      <w:proofErr w:type="gramStart"/>
      <w:r>
        <w:rPr>
          <w:lang w:val="en-GB"/>
        </w:rPr>
        <w:t>system, and</w:t>
      </w:r>
      <w:proofErr w:type="gramEnd"/>
      <w:r>
        <w:rPr>
          <w:lang w:val="en-GB"/>
        </w:rPr>
        <w:t xml:space="preserve"> find the minimal cut-sets. Define the TOP event in a manner like “PSD system fails to shut-down upon a high pressure in the vessel”. Hint: Use an extra basic event for each common cause failure you include.</w:t>
      </w:r>
    </w:p>
    <w:p w14:paraId="2F23661D" w14:textId="77777777" w:rsidR="009D19BD" w:rsidRPr="00204D29" w:rsidRDefault="009D19BD" w:rsidP="009D19BD">
      <w:pPr>
        <w:numPr>
          <w:ilvl w:val="0"/>
          <w:numId w:val="1"/>
        </w:numPr>
        <w:tabs>
          <w:tab w:val="clear" w:pos="720"/>
          <w:tab w:val="num" w:pos="360"/>
        </w:tabs>
        <w:spacing w:after="0" w:line="240" w:lineRule="auto"/>
        <w:ind w:left="360"/>
        <w:rPr>
          <w:lang w:val="en-GB"/>
        </w:rPr>
      </w:pPr>
      <w:r w:rsidRPr="00204D29">
        <w:rPr>
          <w:lang w:val="en-GB"/>
        </w:rPr>
        <w:t xml:space="preserve">Establish a fault tree for the two </w:t>
      </w:r>
      <w:proofErr w:type="gramStart"/>
      <w:r w:rsidRPr="00204D29">
        <w:rPr>
          <w:lang w:val="en-GB"/>
        </w:rPr>
        <w:t>PSVs, and</w:t>
      </w:r>
      <w:proofErr w:type="gramEnd"/>
      <w:r w:rsidRPr="00204D29">
        <w:rPr>
          <w:lang w:val="en-GB"/>
        </w:rPr>
        <w:t xml:space="preserve"> find the minimal cut-sets. Define the TOP event in a manner like “</w:t>
      </w:r>
      <w:r>
        <w:rPr>
          <w:lang w:val="en-GB"/>
        </w:rPr>
        <w:t>PSV</w:t>
      </w:r>
      <w:r w:rsidRPr="00204D29">
        <w:rPr>
          <w:lang w:val="en-GB"/>
        </w:rPr>
        <w:t xml:space="preserve"> system fails to </w:t>
      </w:r>
      <w:r>
        <w:rPr>
          <w:lang w:val="en-GB"/>
        </w:rPr>
        <w:t>release pressure, i.e., fail to send gas to the flare</w:t>
      </w:r>
      <w:r w:rsidRPr="00204D29">
        <w:rPr>
          <w:lang w:val="en-GB"/>
        </w:rPr>
        <w:t>”. Hint: Use an extra basic event for each common cause failure you include.</w:t>
      </w:r>
    </w:p>
    <w:p w14:paraId="7C1134AF" w14:textId="397D5182" w:rsidR="009D19BD" w:rsidRDefault="009D19BD" w:rsidP="009D19BD">
      <w:pPr>
        <w:numPr>
          <w:ilvl w:val="0"/>
          <w:numId w:val="1"/>
        </w:numPr>
        <w:tabs>
          <w:tab w:val="clear" w:pos="720"/>
          <w:tab w:val="num" w:pos="360"/>
        </w:tabs>
        <w:spacing w:after="0" w:line="240" w:lineRule="auto"/>
        <w:ind w:left="360"/>
        <w:rPr>
          <w:lang w:val="en-GB"/>
        </w:rPr>
      </w:pPr>
      <w:r>
        <w:rPr>
          <w:lang w:val="en-GB"/>
        </w:rPr>
        <w:t xml:space="preserve">Find the TOP-event probability (probability of failure on demand) for the two fault trees in problem a) and b) based on the reliability data in </w:t>
      </w:r>
      <w:r>
        <w:rPr>
          <w:lang w:val="en-GB"/>
        </w:rPr>
        <w:fldChar w:fldCharType="begin"/>
      </w:r>
      <w:r>
        <w:rPr>
          <w:lang w:val="en-GB"/>
        </w:rPr>
        <w:instrText xml:space="preserve"> REF _Ref152814441 \h </w:instrText>
      </w:r>
      <w:r>
        <w:rPr>
          <w:lang w:val="en-GB"/>
        </w:rPr>
      </w:r>
      <w:r>
        <w:rPr>
          <w:lang w:val="en-GB"/>
        </w:rPr>
        <w:fldChar w:fldCharType="separate"/>
      </w:r>
      <w:r w:rsidRPr="00754018">
        <w:rPr>
          <w:lang w:val="en-GB"/>
        </w:rPr>
        <w:t xml:space="preserve">Table </w:t>
      </w:r>
      <w:r>
        <w:rPr>
          <w:noProof/>
          <w:lang w:val="en-GB"/>
        </w:rPr>
        <w:t>2</w:t>
      </w:r>
      <w:r>
        <w:rPr>
          <w:lang w:val="en-GB"/>
        </w:rPr>
        <w:fldChar w:fldCharType="end"/>
      </w:r>
      <w:r>
        <w:rPr>
          <w:lang w:val="en-GB"/>
        </w:rPr>
        <w:t xml:space="preserve"> where you also include common cause failures. Hint</w:t>
      </w:r>
      <w:r w:rsidR="006E7E25">
        <w:rPr>
          <w:lang w:val="en-GB"/>
        </w:rPr>
        <w:t xml:space="preserve"> 1</w:t>
      </w:r>
      <w:r>
        <w:rPr>
          <w:lang w:val="en-GB"/>
        </w:rPr>
        <w:t xml:space="preserve">: Failure probability </w:t>
      </w:r>
      <w:r w:rsidR="006E7E25">
        <w:rPr>
          <w:lang w:val="en-GB"/>
        </w:rPr>
        <w:t xml:space="preserve">(PFD) </w:t>
      </w:r>
      <w:r>
        <w:rPr>
          <w:lang w:val="en-GB"/>
        </w:rPr>
        <w:t xml:space="preserve">of a component being periodically tested is </w:t>
      </w:r>
      <w:r w:rsidRPr="00204D29">
        <w:rPr>
          <w:i/>
          <w:lang w:val="en-GB"/>
        </w:rPr>
        <w:sym w:font="Symbol" w:char="F06C"/>
      </w:r>
      <w:r w:rsidRPr="00204D29">
        <w:rPr>
          <w:i/>
          <w:lang w:val="en-GB"/>
        </w:rPr>
        <w:sym w:font="Symbol" w:char="F074"/>
      </w:r>
      <w:r w:rsidRPr="009D19BD">
        <w:rPr>
          <w:lang w:val="en-GB"/>
        </w:rPr>
        <w:t>/2</w:t>
      </w:r>
      <w:r w:rsidR="006428B3">
        <w:rPr>
          <w:lang w:val="en-GB"/>
        </w:rPr>
        <w:t>, PFD for a parallel structure of independent components</w:t>
      </w:r>
      <w:r w:rsidR="005F69F4">
        <w:rPr>
          <w:lang w:val="en-GB"/>
        </w:rPr>
        <w:t xml:space="preserve"> (</w:t>
      </w:r>
      <w:r w:rsidR="005F69F4" w:rsidRPr="00204D29">
        <w:rPr>
          <w:i/>
          <w:lang w:val="en-GB"/>
        </w:rPr>
        <w:sym w:font="Symbol" w:char="F06C"/>
      </w:r>
      <w:r w:rsidR="005F69F4" w:rsidRPr="00204D29">
        <w:rPr>
          <w:i/>
          <w:lang w:val="en-GB"/>
        </w:rPr>
        <w:sym w:font="Symbol" w:char="F074"/>
      </w:r>
      <w:r w:rsidR="005F69F4" w:rsidRPr="005F69F4">
        <w:rPr>
          <w:lang w:val="en-GB"/>
        </w:rPr>
        <w:t>)</w:t>
      </w:r>
      <w:r w:rsidR="005F69F4" w:rsidRPr="005F69F4">
        <w:rPr>
          <w:vertAlign w:val="superscript"/>
          <w:lang w:val="en-GB"/>
        </w:rPr>
        <w:t>2</w:t>
      </w:r>
      <w:r w:rsidR="005F69F4" w:rsidRPr="005F69F4">
        <w:rPr>
          <w:lang w:val="en-GB"/>
        </w:rPr>
        <w:t>/</w:t>
      </w:r>
      <w:r w:rsidR="005F69F4">
        <w:rPr>
          <w:lang w:val="en-GB"/>
        </w:rPr>
        <w:t>3</w:t>
      </w:r>
    </w:p>
    <w:p w14:paraId="3B1F08B9" w14:textId="77777777" w:rsidR="009D19BD" w:rsidRDefault="009D19BD" w:rsidP="009D19BD">
      <w:pPr>
        <w:numPr>
          <w:ilvl w:val="0"/>
          <w:numId w:val="1"/>
        </w:numPr>
        <w:tabs>
          <w:tab w:val="clear" w:pos="720"/>
          <w:tab w:val="num" w:pos="360"/>
        </w:tabs>
        <w:spacing w:after="0" w:line="240" w:lineRule="auto"/>
        <w:ind w:left="360"/>
        <w:rPr>
          <w:lang w:val="en-GB"/>
        </w:rPr>
      </w:pPr>
      <w:r>
        <w:rPr>
          <w:lang w:val="en-GB"/>
        </w:rPr>
        <w:t>Establish an event tree where you use “Gas outlet blocked” as initiating event. Describe how you include the fault tree in your model.</w:t>
      </w:r>
    </w:p>
    <w:p w14:paraId="309E7175" w14:textId="5C756EB5" w:rsidR="009D19BD" w:rsidRDefault="009D19BD" w:rsidP="009D19BD">
      <w:pPr>
        <w:numPr>
          <w:ilvl w:val="0"/>
          <w:numId w:val="1"/>
        </w:numPr>
        <w:tabs>
          <w:tab w:val="clear" w:pos="720"/>
          <w:tab w:val="num" w:pos="360"/>
        </w:tabs>
        <w:spacing w:after="0" w:line="240" w:lineRule="auto"/>
        <w:ind w:left="360"/>
        <w:rPr>
          <w:lang w:val="en-GB"/>
        </w:rPr>
      </w:pPr>
      <w:r>
        <w:rPr>
          <w:lang w:val="en-GB"/>
        </w:rPr>
        <w:t xml:space="preserve">Find the frequencies for all end consequences in </w:t>
      </w:r>
      <w:r>
        <w:rPr>
          <w:lang w:val="en-GB"/>
        </w:rPr>
        <w:fldChar w:fldCharType="begin"/>
      </w:r>
      <w:r>
        <w:rPr>
          <w:lang w:val="en-GB"/>
        </w:rPr>
        <w:instrText xml:space="preserve"> REF _Ref121025771 \h </w:instrText>
      </w:r>
      <w:r>
        <w:rPr>
          <w:lang w:val="en-GB"/>
        </w:rPr>
      </w:r>
      <w:r>
        <w:rPr>
          <w:lang w:val="en-GB"/>
        </w:rPr>
        <w:fldChar w:fldCharType="separate"/>
      </w:r>
      <w:r w:rsidRPr="003652A0">
        <w:rPr>
          <w:lang w:val="en-GB"/>
        </w:rPr>
        <w:t xml:space="preserve">Table </w:t>
      </w:r>
      <w:r>
        <w:rPr>
          <w:noProof/>
          <w:lang w:val="en-GB"/>
        </w:rPr>
        <w:t>1</w:t>
      </w:r>
      <w:r>
        <w:rPr>
          <w:lang w:val="en-GB"/>
        </w:rPr>
        <w:fldChar w:fldCharType="end"/>
      </w:r>
      <w:r>
        <w:rPr>
          <w:lang w:val="en-GB"/>
        </w:rPr>
        <w:t xml:space="preserve">. Also find the PLL contribution, and the expected </w:t>
      </w:r>
      <w:r w:rsidR="00A843D4">
        <w:rPr>
          <w:lang w:val="en-GB"/>
        </w:rPr>
        <w:t>costs</w:t>
      </w:r>
      <w:r>
        <w:rPr>
          <w:lang w:val="en-GB"/>
        </w:rPr>
        <w:t xml:space="preserve"> related to this scenario. </w:t>
      </w:r>
    </w:p>
    <w:p w14:paraId="7BF94876" w14:textId="68A2962A" w:rsidR="009D19BD" w:rsidRDefault="009D19BD" w:rsidP="009D19BD">
      <w:pPr>
        <w:rPr>
          <w:lang w:val="en-GB"/>
        </w:rPr>
      </w:pPr>
    </w:p>
    <w:p w14:paraId="4067C976" w14:textId="555A1CD9" w:rsidR="00282B3C" w:rsidRPr="00485CE1" w:rsidRDefault="0074253A" w:rsidP="009D19BD">
      <w:pPr>
        <w:rPr>
          <w:lang w:val="en-GB"/>
        </w:rPr>
      </w:pPr>
      <w:r w:rsidRPr="00485CE1">
        <w:rPr>
          <w:lang w:val="en-GB"/>
        </w:rPr>
        <w:t>For more information regarding</w:t>
      </w:r>
      <w:r w:rsidR="00485CE1" w:rsidRPr="00485CE1">
        <w:rPr>
          <w:lang w:val="en-GB"/>
        </w:rPr>
        <w:t xml:space="preserve"> PFD f</w:t>
      </w:r>
      <w:r w:rsidR="00485CE1">
        <w:rPr>
          <w:lang w:val="en-GB"/>
        </w:rPr>
        <w:t>or safety instrumented systems, have a look in summary notes for chapter 1</w:t>
      </w:r>
      <w:r w:rsidR="00BC55F2">
        <w:rPr>
          <w:lang w:val="en-GB"/>
        </w:rPr>
        <w:t>3</w:t>
      </w:r>
      <w:r w:rsidR="00774580">
        <w:rPr>
          <w:lang w:val="en-GB"/>
        </w:rPr>
        <w:t xml:space="preserve"> in the safety and reliability book. For common cause failure modelling, see chapter </w:t>
      </w:r>
      <w:r w:rsidR="00BC55F2">
        <w:rPr>
          <w:lang w:val="en-GB"/>
        </w:rPr>
        <w:t>8</w:t>
      </w:r>
      <w:r w:rsidR="00774580">
        <w:rPr>
          <w:lang w:val="en-GB"/>
        </w:rPr>
        <w:t>.</w:t>
      </w:r>
    </w:p>
    <w:sectPr w:rsidR="00282B3C" w:rsidRPr="00485C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B850" w14:textId="77777777" w:rsidR="00EB1057" w:rsidRDefault="00EB1057" w:rsidP="009D19BD">
      <w:pPr>
        <w:spacing w:after="0" w:line="240" w:lineRule="auto"/>
      </w:pPr>
      <w:r>
        <w:separator/>
      </w:r>
    </w:p>
  </w:endnote>
  <w:endnote w:type="continuationSeparator" w:id="0">
    <w:p w14:paraId="0A3894DF" w14:textId="77777777" w:rsidR="00EB1057" w:rsidRDefault="00EB1057" w:rsidP="009D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FA8A" w14:textId="77777777" w:rsidR="00EB1057" w:rsidRDefault="00EB1057" w:rsidP="009D19BD">
      <w:pPr>
        <w:spacing w:after="0" w:line="240" w:lineRule="auto"/>
      </w:pPr>
      <w:r>
        <w:separator/>
      </w:r>
    </w:p>
  </w:footnote>
  <w:footnote w:type="continuationSeparator" w:id="0">
    <w:p w14:paraId="7145D089" w14:textId="77777777" w:rsidR="00EB1057" w:rsidRDefault="00EB1057" w:rsidP="009D1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A65B9"/>
    <w:multiLevelType w:val="hybridMultilevel"/>
    <w:tmpl w:val="3FE22CAA"/>
    <w:lvl w:ilvl="0" w:tplc="3D8471EE">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93821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BD"/>
    <w:rsid w:val="00022676"/>
    <w:rsid w:val="00034E1B"/>
    <w:rsid w:val="00282B3C"/>
    <w:rsid w:val="00442D8D"/>
    <w:rsid w:val="00485CE1"/>
    <w:rsid w:val="004E4463"/>
    <w:rsid w:val="005F69F4"/>
    <w:rsid w:val="006428B3"/>
    <w:rsid w:val="006E7E25"/>
    <w:rsid w:val="007361C8"/>
    <w:rsid w:val="0074253A"/>
    <w:rsid w:val="00774580"/>
    <w:rsid w:val="007A1374"/>
    <w:rsid w:val="009D19BD"/>
    <w:rsid w:val="00A843D4"/>
    <w:rsid w:val="00AF0FA3"/>
    <w:rsid w:val="00BC55F2"/>
    <w:rsid w:val="00E43E46"/>
    <w:rsid w:val="00EB10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92503"/>
  <w15:chartTrackingRefBased/>
  <w15:docId w15:val="{5F28B1C1-083E-41E7-983A-7918AE6F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Heading1">
    <w:name w:val="heading 1"/>
    <w:basedOn w:val="Normal"/>
    <w:next w:val="Normal"/>
    <w:link w:val="Heading1Char"/>
    <w:uiPriority w:val="9"/>
    <w:qFormat/>
    <w:rsid w:val="009D19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19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9BD"/>
    <w:rPr>
      <w:rFonts w:asciiTheme="majorHAnsi" w:eastAsiaTheme="majorEastAsia" w:hAnsiTheme="majorHAnsi" w:cstheme="majorBidi"/>
      <w:color w:val="2F5496" w:themeColor="accent1" w:themeShade="BF"/>
      <w:sz w:val="32"/>
      <w:szCs w:val="32"/>
      <w:lang w:val="nn-NO"/>
    </w:rPr>
  </w:style>
  <w:style w:type="character" w:customStyle="1" w:styleId="Heading2Char">
    <w:name w:val="Heading 2 Char"/>
    <w:basedOn w:val="DefaultParagraphFont"/>
    <w:link w:val="Heading2"/>
    <w:uiPriority w:val="9"/>
    <w:rsid w:val="009D19BD"/>
    <w:rPr>
      <w:rFonts w:asciiTheme="majorHAnsi" w:eastAsiaTheme="majorEastAsia" w:hAnsiTheme="majorHAnsi" w:cstheme="majorBidi"/>
      <w:color w:val="2F5496" w:themeColor="accent1" w:themeShade="BF"/>
      <w:sz w:val="26"/>
      <w:szCs w:val="26"/>
      <w:lang w:val="nn-NO"/>
    </w:rPr>
  </w:style>
  <w:style w:type="character" w:styleId="Hyperlink">
    <w:name w:val="Hyperlink"/>
    <w:basedOn w:val="DefaultParagraphFont"/>
    <w:uiPriority w:val="99"/>
    <w:semiHidden/>
    <w:unhideWhenUsed/>
    <w:rsid w:val="009D19BD"/>
    <w:rPr>
      <w:color w:val="0000FF"/>
      <w:u w:val="single"/>
    </w:rPr>
  </w:style>
  <w:style w:type="table" w:styleId="TableGrid">
    <w:name w:val="Table Grid"/>
    <w:basedOn w:val="TableNormal"/>
    <w:rsid w:val="009D19BD"/>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D19BD"/>
    <w:pPr>
      <w:spacing w:after="0" w:line="240" w:lineRule="auto"/>
    </w:pPr>
    <w:rPr>
      <w:rFonts w:ascii="Times New Roman" w:eastAsia="Times New Roman" w:hAnsi="Times New Roman" w:cs="Times New Roman"/>
      <w:b/>
      <w:bCs/>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3323</Characters>
  <Application>Microsoft Office Word</Application>
  <DocSecurity>0</DocSecurity>
  <Lines>27</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Vatn</dc:creator>
  <cp:keywords/>
  <dc:description/>
  <cp:lastModifiedBy>Jørn Vatn</cp:lastModifiedBy>
  <cp:revision>12</cp:revision>
  <dcterms:created xsi:type="dcterms:W3CDTF">2021-01-26T08:25:00Z</dcterms:created>
  <dcterms:modified xsi:type="dcterms:W3CDTF">2023-01-18T06:47:00Z</dcterms:modified>
</cp:coreProperties>
</file>